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line="260"/>
        <w:jc w:val="center"/>
      </w:pPr>
      <w:r>
        <w:rPr>
          <w:rFonts w:ascii="Calibri" w:cs="Calibri" w:eastAsia="Calibri" w:hAnsi="Calibri"/>
          <w:b/>
          <w:bCs/>
          <w:color w:val="666666"/>
          <w:sz w:val="18"/>
          <w:szCs w:val="18"/>
        </w:rPr>
        <w:t xml:space="preserve">POLYWARE SAS / brome.ai</w:t>
      </w:r>
    </w:p>
    <w:p>
      <w:pPr>
        <w:spacing w:after="40" w:line="260"/>
        <w:jc w:val="center"/>
      </w:pPr>
      <w:r>
        <w:rPr>
          <w:rFonts w:ascii="Calibri" w:cs="Calibri" w:eastAsia="Calibri" w:hAnsi="Calibri"/>
          <w:b/>
          <w:bCs/>
          <w:sz w:val="28"/>
          <w:szCs w:val="28"/>
        </w:rPr>
        <w:t xml:space="preserve">ACCORD DE TRAITEMENT DES DONNÉES À CARACTÈRE PERSONNEL</w:t>
      </w:r>
    </w:p>
    <w:p>
      <w:pPr>
        <w:spacing w:after="80" w:line="260"/>
        <w:jc w:val="center"/>
      </w:pPr>
      <w:r>
        <w:rPr>
          <w:rFonts w:ascii="Calibri" w:cs="Calibri" w:eastAsia="Calibri" w:hAnsi="Calibri"/>
          <w:b/>
          <w:bCs/>
          <w:color w:val="555555"/>
          <w:sz w:val="24"/>
          <w:szCs w:val="24"/>
        </w:rPr>
        <w:t xml:space="preserve">DATA PROCESSING AGREEMENT</w:t>
      </w:r>
    </w:p>
    <w:p>
      <w:pPr>
        <w:spacing w:after="300" w:line="260"/>
        <w:jc w:val="center"/>
      </w:pPr>
      <w:r>
        <w:rPr>
          <w:rFonts w:ascii="Calibri" w:cs="Calibri" w:eastAsia="Calibri" w:hAnsi="Calibri"/>
          <w:i/>
          <w:iCs/>
          <w:color w:val="666666"/>
          <w:sz w:val="17"/>
          <w:szCs w:val="17"/>
        </w:rPr>
        <w:t xml:space="preserve">Article 28 du Règlement (UE) 2016/679 (RGPD) / Article 28 of Regulation (EU) 2016/679 (GDPR)</w:t>
      </w:r>
    </w:p>
    <w:p>
      <w:pPr>
        <w:spacing w:after="120" w:line="260"/>
      </w:pPr>
      <w:r>
        <w:rPr>
          <w:rFonts w:ascii="Calibri" w:cs="Calibri" w:eastAsia="Calibri" w:hAnsi="Calibri"/>
          <w:b/>
          <w:bCs/>
          <w:sz w:val="20"/>
          <w:szCs w:val="20"/>
        </w:rPr>
        <w:t xml:space="preserve">ENTRE LES SOUSSIGNÉS / BETWEEN THE UNDERSIGNED</w:t>
      </w:r>
    </w:p>
    <w:p>
      <w:pPr>
        <w:spacing w:after="60" w:line="260"/>
      </w:pPr>
      <w:r>
        <w:rPr>
          <w:rFonts w:ascii="Calibri" w:cs="Calibri" w:eastAsia="Calibri" w:hAnsi="Calibri"/>
          <w:sz w:val="19"/>
          <w:szCs w:val="19"/>
        </w:rPr>
        <w:t xml:space="preserve">POLYWARE SAS, société par actions simplifiée, immatriculée sous le numéro SIREN 103 977 302, dont le siège social est situé 47 rue Vivienne, 75002 Paris, représentée par son Président, ci-après « Polyware » ou le « Sous-traitant »,</w:t>
      </w:r>
    </w:p>
    <w:p>
      <w:pPr>
        <w:spacing w:after="140" w:line="260"/>
      </w:pPr>
      <w:r>
        <w:rPr>
          <w:rFonts w:ascii="Calibri" w:cs="Calibri" w:eastAsia="Calibri" w:hAnsi="Calibri"/>
          <w:i/>
          <w:iCs/>
          <w:color w:val="444444"/>
          <w:sz w:val="19"/>
          <w:szCs w:val="19"/>
        </w:rPr>
        <w:t xml:space="preserve">POLYWARE SAS, a French simplified joint-stock company, registered under number 103 977 302, having its registered office at 47 rue Vivienne, 75002 Paris, France, represented by its President, hereinafter “Polyware” or the “Processor”,</w:t>
      </w:r>
    </w:p>
    <w:p>
      <w:pPr>
        <w:spacing w:after="120" w:line="260"/>
      </w:pPr>
      <w:r>
        <w:rPr>
          <w:rFonts w:ascii="Calibri" w:cs="Calibri" w:eastAsia="Calibri" w:hAnsi="Calibri"/>
          <w:b/>
          <w:bCs/>
          <w:sz w:val="19"/>
          <w:szCs w:val="19"/>
        </w:rPr>
        <w:t xml:space="preserve">ET / AND</w:t>
      </w:r>
    </w:p>
    <w:p>
      <w:pPr>
        <w:spacing w:after="60" w:line="260"/>
      </w:pPr>
      <w:r>
        <w:rPr>
          <w:rFonts w:ascii="Calibri" w:cs="Calibri" w:eastAsia="Calibri" w:hAnsi="Calibri"/>
          <w:sz w:val="19"/>
          <w:szCs w:val="19"/>
        </w:rPr>
        <w:t xml:space="preserve">Le client identifié en page de signature, ci-après le « Client » ou le « Responsable du traitement »,</w:t>
      </w:r>
    </w:p>
    <w:p>
      <w:pPr>
        <w:spacing w:after="140" w:line="260"/>
      </w:pPr>
      <w:r>
        <w:rPr>
          <w:rFonts w:ascii="Calibri" w:cs="Calibri" w:eastAsia="Calibri" w:hAnsi="Calibri"/>
          <w:i/>
          <w:iCs/>
          <w:color w:val="444444"/>
          <w:sz w:val="19"/>
          <w:szCs w:val="19"/>
        </w:rPr>
        <w:t xml:space="preserve">The client identified on the signature page, hereinafter the “Client” or the “Controller”,</w:t>
      </w:r>
    </w:p>
    <w:p>
      <w:pPr>
        <w:spacing w:after="300" w:line="260"/>
      </w:pPr>
      <w:r>
        <w:rPr>
          <w:rFonts w:ascii="Calibri" w:cs="Calibri" w:eastAsia="Calibri" w:hAnsi="Calibri"/>
          <w:sz w:val="19"/>
          <w:szCs w:val="19"/>
        </w:rPr>
        <w:t xml:space="preserve">Ci-après désignés ensemble les « Parties ». / Hereinafter together the “Parties”.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 Définitions</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 Definitions</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Les termes « données à caractère personnel », « traitement », « responsable du traitement », « sous-traitant », « personne concernée », « violation de données à caractère personnel » et « autorité de contrôle » ont le sens qui leur est donné par le RGPD.</w:t>
            </w:r>
          </w:p>
          <w:p>
            <w:pPr>
              <w:spacing w:after="100" w:line="260"/>
            </w:pPr>
            <w:r>
              <w:rPr>
                <w:rFonts w:ascii="Calibri" w:cs="Calibri" w:eastAsia="Calibri" w:hAnsi="Calibri"/>
                <w:sz w:val="19"/>
                <w:szCs w:val="19"/>
              </w:rPr>
              <w:t xml:space="preserve">« RGPD » désigne le Règlement (UE) 2016/679.</w:t>
            </w:r>
          </w:p>
          <w:p>
            <w:pPr>
              <w:spacing w:after="100" w:line="260"/>
            </w:pPr>
            <w:r>
              <w:rPr>
                <w:rFonts w:ascii="Calibri" w:cs="Calibri" w:eastAsia="Calibri" w:hAnsi="Calibri"/>
                <w:sz w:val="19"/>
                <w:szCs w:val="19"/>
              </w:rPr>
              <w:t xml:space="preserve">« Loi Informatique et Libertés » désigne la loi n° 78-17 du 6 janvier 1978 modifiée.</w:t>
            </w:r>
          </w:p>
          <w:p>
            <w:pPr>
              <w:spacing w:after="100" w:line="260"/>
            </w:pPr>
            <w:r>
              <w:rPr>
                <w:rFonts w:ascii="Calibri" w:cs="Calibri" w:eastAsia="Calibri" w:hAnsi="Calibri"/>
                <w:sz w:val="19"/>
                <w:szCs w:val="19"/>
              </w:rPr>
              <w:t xml:space="preserve">« Service » désigne la plateforme brome.ai et les services associés fournis par Polyware.</w:t>
            </w:r>
          </w:p>
          <w:p>
            <w:pPr>
              <w:spacing w:after="100" w:line="260"/>
            </w:pPr>
            <w:r>
              <w:rPr>
                <w:rFonts w:ascii="Calibri" w:cs="Calibri" w:eastAsia="Calibri" w:hAnsi="Calibri"/>
                <w:sz w:val="19"/>
                <w:szCs w:val="19"/>
              </w:rPr>
              <w:t xml:space="preserve">« Contrat Principal » désigne les conditions générales d'utilisation et/ou le contrat d'abonnement conclu entre les Parties.</w:t>
            </w:r>
          </w:p>
          <w:p>
            <w:pPr>
              <w:spacing w:after="100" w:line="260"/>
            </w:pPr>
            <w:r>
              <w:rPr>
                <w:rFonts w:ascii="Calibri" w:cs="Calibri" w:eastAsia="Calibri" w:hAnsi="Calibri"/>
                <w:sz w:val="19"/>
                <w:szCs w:val="19"/>
              </w:rPr>
              <w:t xml:space="preserve">« Sous-traitant Ultérieur » désigne tout sous-traitant engagé par Polyware pour l'exécution du Service.</w:t>
            </w:r>
          </w:p>
          <w:p>
            <w:pPr>
              <w:spacing w:after="100" w:line="260"/>
            </w:pPr>
            <w:r>
              <w:rPr>
                <w:rFonts w:ascii="Calibri" w:cs="Calibri" w:eastAsia="Calibri" w:hAnsi="Calibri"/>
                <w:sz w:val="19"/>
                <w:szCs w:val="19"/>
              </w:rPr>
              <w:t xml:space="preserve">« CCT » désigne les clauses contractuelles types adoptées par la décision d'exécution (UE) 2021/914 de la Commission.</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The terms “personal data”, “processing”, “controller”, “processor”, “data subject”, “personal data breach” and “supervisory authority” have the meaning given to them in the GDPR.</w:t>
            </w:r>
          </w:p>
          <w:p>
            <w:pPr>
              <w:spacing w:after="100" w:line="260"/>
            </w:pPr>
            <w:r>
              <w:rPr>
                <w:rFonts w:ascii="Calibri" w:cs="Calibri" w:eastAsia="Calibri" w:hAnsi="Calibri"/>
                <w:sz w:val="19"/>
                <w:szCs w:val="19"/>
              </w:rPr>
              <w:t xml:space="preserve">“GDPR” means Regulation (EU) 2016/679.</w:t>
            </w:r>
          </w:p>
          <w:p>
            <w:pPr>
              <w:spacing w:after="100" w:line="260"/>
            </w:pPr>
            <w:r>
              <w:rPr>
                <w:rFonts w:ascii="Calibri" w:cs="Calibri" w:eastAsia="Calibri" w:hAnsi="Calibri"/>
                <w:sz w:val="19"/>
                <w:szCs w:val="19"/>
              </w:rPr>
              <w:t xml:space="preserve">“French Data Protection Act” means Law No. 78-17 of 6 January 1978, as amended.</w:t>
            </w:r>
          </w:p>
          <w:p>
            <w:pPr>
              <w:spacing w:after="100" w:line="260"/>
            </w:pPr>
            <w:r>
              <w:rPr>
                <w:rFonts w:ascii="Calibri" w:cs="Calibri" w:eastAsia="Calibri" w:hAnsi="Calibri"/>
                <w:sz w:val="19"/>
                <w:szCs w:val="19"/>
              </w:rPr>
              <w:t xml:space="preserve">“Service” means the brome.ai platform and related services provided by Polyware.</w:t>
            </w:r>
          </w:p>
          <w:p>
            <w:pPr>
              <w:spacing w:after="100" w:line="260"/>
            </w:pPr>
            <w:r>
              <w:rPr>
                <w:rFonts w:ascii="Calibri" w:cs="Calibri" w:eastAsia="Calibri" w:hAnsi="Calibri"/>
                <w:sz w:val="19"/>
                <w:szCs w:val="19"/>
              </w:rPr>
              <w:t xml:space="preserve">“Main Agreement” means the terms of service and/or subscription agreement entered into between the Parties.</w:t>
            </w:r>
          </w:p>
          <w:p>
            <w:pPr>
              <w:spacing w:after="100" w:line="260"/>
            </w:pPr>
            <w:r>
              <w:rPr>
                <w:rFonts w:ascii="Calibri" w:cs="Calibri" w:eastAsia="Calibri" w:hAnsi="Calibri"/>
                <w:sz w:val="19"/>
                <w:szCs w:val="19"/>
              </w:rPr>
              <w:t xml:space="preserve">“Sub-processor” means any processor engaged by Polyware to perform the Service.</w:t>
            </w:r>
          </w:p>
          <w:p>
            <w:pPr>
              <w:spacing w:after="100" w:line="260"/>
            </w:pPr>
            <w:r>
              <w:rPr>
                <w:rFonts w:ascii="Calibri" w:cs="Calibri" w:eastAsia="Calibri" w:hAnsi="Calibri"/>
                <w:sz w:val="19"/>
                <w:szCs w:val="19"/>
              </w:rPr>
              <w:t xml:space="preserve">“SCCs” means the standard contractual clauses adopted by Commission Implementing Decision (EU) 2021/914.</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2. Objet, rôles et durée</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2. Subject matter, roles and duration</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2.1. Le présent accord (« DPA ») complète le Contrat Principal et définit les conditions dans lesquelles Polyware traite des données à caractère personnel pour le compte du Client, conformément à l'article 28 du RGPD.</w:t>
            </w:r>
          </w:p>
          <w:p>
            <w:pPr>
              <w:spacing w:after="100" w:line="260"/>
            </w:pPr>
            <w:r>
              <w:rPr>
                <w:rFonts w:ascii="Calibri" w:cs="Calibri" w:eastAsia="Calibri" w:hAnsi="Calibri"/>
                <w:sz w:val="19"/>
                <w:szCs w:val="19"/>
              </w:rPr>
              <w:t xml:space="preserve">2.2. Le Client agit en qualité de responsable du traitement (ou de sous-traitant lorsqu'il traite lui-même des données pour le compte d'un tiers). Polyware agit en qualité de sous-traitant (ou de sous-traitant ultérieur).</w:t>
            </w:r>
          </w:p>
          <w:p>
            <w:pPr>
              <w:spacing w:after="100" w:line="260"/>
            </w:pPr>
            <w:r>
              <w:rPr>
                <w:rFonts w:ascii="Calibri" w:cs="Calibri" w:eastAsia="Calibri" w:hAnsi="Calibri"/>
                <w:sz w:val="19"/>
                <w:szCs w:val="19"/>
              </w:rPr>
              <w:t xml:space="preserve">2.3. La nature, la finalité, la durée du traitement, les catégories de données et les catégories de personnes concernées sont décrites en Annexe I.</w:t>
            </w:r>
          </w:p>
          <w:p>
            <w:pPr>
              <w:spacing w:after="100" w:line="260"/>
            </w:pPr>
            <w:r>
              <w:rPr>
                <w:rFonts w:ascii="Calibri" w:cs="Calibri" w:eastAsia="Calibri" w:hAnsi="Calibri"/>
                <w:sz w:val="19"/>
                <w:szCs w:val="19"/>
              </w:rPr>
              <w:t xml:space="preserve">2.4. Le présent DPA prend effet à la date de souscription au Service et demeure en vigueur tant que Polyware traite des données à caractère personnel pour le compte du Client.</w:t>
            </w:r>
          </w:p>
          <w:p>
            <w:pPr>
              <w:spacing w:after="100" w:line="260"/>
            </w:pPr>
            <w:r>
              <w:rPr>
                <w:rFonts w:ascii="Calibri" w:cs="Calibri" w:eastAsia="Calibri" w:hAnsi="Calibri"/>
                <w:sz w:val="19"/>
                <w:szCs w:val="19"/>
              </w:rPr>
              <w:t xml:space="preserve">2.5. En cas de contradiction entre le présent DPA et le Contrat Principal, le présent DPA prévaut pour les questions relatives à la protection des données à caractère personnel.</w:t>
            </w:r>
          </w:p>
          <w:p>
            <w:pPr>
              <w:spacing w:after="100" w:line="260"/>
            </w:pPr>
            <w:r>
              <w:rPr>
                <w:rFonts w:ascii="Calibri" w:cs="Calibri" w:eastAsia="Calibri" w:hAnsi="Calibri"/>
                <w:sz w:val="19"/>
                <w:szCs w:val="19"/>
              </w:rPr>
              <w:t xml:space="preserve">2.6. Le présent DPA est publié à l'adresse https://brome.ai/legal/dpa et incorporé par référence au Contrat Principal. Il est réputé accepté par le Client lors de la souscription au Service. Un exemplaire signé par les deux Parties est remis sur simple demande écrite adressée à dpo@brome.ai.</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2.1. This data processing agreement (“DPA”) supplements the Main Agreement and sets out the terms on which Polyware processes personal data on behalf of the Client, in accordance with Article 28 GDPR.</w:t>
            </w:r>
          </w:p>
          <w:p>
            <w:pPr>
              <w:spacing w:after="100" w:line="260"/>
            </w:pPr>
            <w:r>
              <w:rPr>
                <w:rFonts w:ascii="Calibri" w:cs="Calibri" w:eastAsia="Calibri" w:hAnsi="Calibri"/>
                <w:sz w:val="19"/>
                <w:szCs w:val="19"/>
              </w:rPr>
              <w:t xml:space="preserve">2.2. The Client acts as controller (or as processor where it itself processes data on behalf of a third party). Polyware acts as processor (or sub-processor).</w:t>
            </w:r>
          </w:p>
          <w:p>
            <w:pPr>
              <w:spacing w:after="100" w:line="260"/>
            </w:pPr>
            <w:r>
              <w:rPr>
                <w:rFonts w:ascii="Calibri" w:cs="Calibri" w:eastAsia="Calibri" w:hAnsi="Calibri"/>
                <w:sz w:val="19"/>
                <w:szCs w:val="19"/>
              </w:rPr>
              <w:t xml:space="preserve">2.3. The nature, purpose and duration of the processing, the categories of data and the categories of data subjects are described in Annex I.</w:t>
            </w:r>
          </w:p>
          <w:p>
            <w:pPr>
              <w:spacing w:after="100" w:line="260"/>
            </w:pPr>
            <w:r>
              <w:rPr>
                <w:rFonts w:ascii="Calibri" w:cs="Calibri" w:eastAsia="Calibri" w:hAnsi="Calibri"/>
                <w:sz w:val="19"/>
                <w:szCs w:val="19"/>
              </w:rPr>
              <w:t xml:space="preserve">2.4. This DPA takes effect on the date of subscription to the Service and remains in force for as long as Polyware processes personal data on behalf of the Client.</w:t>
            </w:r>
          </w:p>
          <w:p>
            <w:pPr>
              <w:spacing w:after="100" w:line="260"/>
            </w:pPr>
            <w:r>
              <w:rPr>
                <w:rFonts w:ascii="Calibri" w:cs="Calibri" w:eastAsia="Calibri" w:hAnsi="Calibri"/>
                <w:sz w:val="19"/>
                <w:szCs w:val="19"/>
              </w:rPr>
              <w:t xml:space="preserve">2.5. In the event of a conflict between this DPA and the Main Agreement, this DPA prevails on matters relating to the protection of personal data.</w:t>
            </w:r>
          </w:p>
          <w:p>
            <w:pPr>
              <w:spacing w:after="100" w:line="260"/>
            </w:pPr>
            <w:r>
              <w:rPr>
                <w:rFonts w:ascii="Calibri" w:cs="Calibri" w:eastAsia="Calibri" w:hAnsi="Calibri"/>
                <w:sz w:val="19"/>
                <w:szCs w:val="19"/>
              </w:rPr>
              <w:t xml:space="preserve">2.6. This DPA is published at https://brome.ai/legal/dpa and incorporated by reference into the Main Agreement. It is deemed accepted by the Client upon subscription to the Service. A copy signed by both Parties is provided on written request to dpo@brome.ai.</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3. Obligations du Client</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3. Client obligations</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3.1. Le Client garantit qu'il dispose d'une base légale valable au titre des articles 6 et, le cas échéant, 9 du RGPD pour l'ensemble des données à caractère personnel qu'il soumet au Service, y compris celles contenues dans les requêtes (prompts), les fichiers téléversés et les contenus générés.</w:t>
            </w:r>
          </w:p>
          <w:p>
            <w:pPr>
              <w:spacing w:after="100" w:line="260"/>
            </w:pPr>
            <w:r>
              <w:rPr>
                <w:rFonts w:ascii="Calibri" w:cs="Calibri" w:eastAsia="Calibri" w:hAnsi="Calibri"/>
                <w:sz w:val="19"/>
                <w:szCs w:val="19"/>
              </w:rPr>
              <w:t xml:space="preserve">3.2. Le Client est seul responsable de l'information des personnes concernées et du respect de leurs droits à son égard.</w:t>
            </w:r>
          </w:p>
          <w:p>
            <w:pPr>
              <w:spacing w:after="100" w:line="260"/>
            </w:pPr>
            <w:r>
              <w:rPr>
                <w:rFonts w:ascii="Calibri" w:cs="Calibri" w:eastAsia="Calibri" w:hAnsi="Calibri"/>
                <w:sz w:val="19"/>
                <w:szCs w:val="19"/>
              </w:rPr>
              <w:t xml:space="preserve">3.3. Le Client s'engage à ne pas soumettre au Service de données relevant des catégories particulières visées à l'article 9 du RGPD, ni de données relatives à des condamnations pénales (article 10), sauf accord écrit préalable de Polyware précisant les mesures complémentaires applicables.</w:t>
            </w:r>
          </w:p>
          <w:p>
            <w:pPr>
              <w:spacing w:after="100" w:line="260"/>
            </w:pPr>
            <w:r>
              <w:rPr>
                <w:rFonts w:ascii="Calibri" w:cs="Calibri" w:eastAsia="Calibri" w:hAnsi="Calibri"/>
                <w:sz w:val="19"/>
                <w:szCs w:val="19"/>
              </w:rPr>
              <w:t xml:space="preserve">3.4. Le Client est responsable de la configuration du Service, de la gestion des comptes utilisateurs et des droits d'accès au sein de son organisation.</w:t>
            </w:r>
          </w:p>
          <w:p>
            <w:pPr>
              <w:spacing w:after="100" w:line="260"/>
            </w:pPr>
            <w:r>
              <w:rPr>
                <w:rFonts w:ascii="Calibri" w:cs="Calibri" w:eastAsia="Calibri" w:hAnsi="Calibri"/>
                <w:sz w:val="19"/>
                <w:szCs w:val="19"/>
              </w:rPr>
              <w:t xml:space="preserve">3.5. Le Client reconnaît que le Service recourt à des modèles d'intelligence artificielle fournis par des tiers, listés en Annexe III, et que la sélection du modèle utilisé relève de son choix.</w:t>
            </w:r>
          </w:p>
          <w:p>
            <w:pPr>
              <w:spacing w:after="100" w:line="260"/>
            </w:pPr>
            <w:r>
              <w:rPr>
                <w:rFonts w:ascii="Calibri" w:cs="Calibri" w:eastAsia="Calibri" w:hAnsi="Calibri"/>
                <w:sz w:val="19"/>
                <w:szCs w:val="19"/>
              </w:rPr>
              <w:t xml:space="preserve">3.6. Lorsque l'offre souscrite le permet, l'administrateur désigné par le Client détermine les modèles accessibles à ses utilisateurs et, en particulier, si ceux-ci peuvent recourir à des modèles non compatibles avec la rétention nulle (article 7.4). Ce paramétrage relève du Client, qui en assume les conséquences au regard des traitements qu'il confie au Service.</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3.1. The Client warrants that it has a valid legal basis under Articles 6 and, where applicable, 9 GDPR for all personal data it submits to the Service, including data contained in prompts, uploaded files and generated content.</w:t>
            </w:r>
          </w:p>
          <w:p>
            <w:pPr>
              <w:spacing w:after="100" w:line="260"/>
            </w:pPr>
            <w:r>
              <w:rPr>
                <w:rFonts w:ascii="Calibri" w:cs="Calibri" w:eastAsia="Calibri" w:hAnsi="Calibri"/>
                <w:sz w:val="19"/>
                <w:szCs w:val="19"/>
              </w:rPr>
              <w:t xml:space="preserve">3.2. The Client is solely responsible for informing data subjects and for complying with their rights vis-à-vis the Client.</w:t>
            </w:r>
          </w:p>
          <w:p>
            <w:pPr>
              <w:spacing w:after="100" w:line="260"/>
            </w:pPr>
            <w:r>
              <w:rPr>
                <w:rFonts w:ascii="Calibri" w:cs="Calibri" w:eastAsia="Calibri" w:hAnsi="Calibri"/>
                <w:sz w:val="19"/>
                <w:szCs w:val="19"/>
              </w:rPr>
              <w:t xml:space="preserve">3.3. The Client undertakes not to submit to the Service any special categories of data within the meaning of Article 9 GDPR, nor data relating to criminal convictions (Article 10), unless Polyware has given prior written agreement specifying the additional measures that apply.</w:t>
            </w:r>
          </w:p>
          <w:p>
            <w:pPr>
              <w:spacing w:after="100" w:line="260"/>
            </w:pPr>
            <w:r>
              <w:rPr>
                <w:rFonts w:ascii="Calibri" w:cs="Calibri" w:eastAsia="Calibri" w:hAnsi="Calibri"/>
                <w:sz w:val="19"/>
                <w:szCs w:val="19"/>
              </w:rPr>
              <w:t xml:space="preserve">3.4. The Client is responsible for the configuration of the Service, for managing user accounts and for access rights within its organisation.</w:t>
            </w:r>
          </w:p>
          <w:p>
            <w:pPr>
              <w:spacing w:after="100" w:line="260"/>
            </w:pPr>
            <w:r>
              <w:rPr>
                <w:rFonts w:ascii="Calibri" w:cs="Calibri" w:eastAsia="Calibri" w:hAnsi="Calibri"/>
                <w:sz w:val="19"/>
                <w:szCs w:val="19"/>
              </w:rPr>
              <w:t xml:space="preserve">3.5. The Client acknowledges that the Service relies on third-party artificial intelligence models, listed in Annex III, and that the selection of the model used is the Client's choice.</w:t>
            </w:r>
          </w:p>
          <w:p>
            <w:pPr>
              <w:spacing w:after="100" w:line="260"/>
            </w:pPr>
            <w:r>
              <w:rPr>
                <w:rFonts w:ascii="Calibri" w:cs="Calibri" w:eastAsia="Calibri" w:hAnsi="Calibri"/>
                <w:sz w:val="19"/>
                <w:szCs w:val="19"/>
              </w:rPr>
              <w:t xml:space="preserve">3.6. Where the subscribed plan allows it, the administrator designated by the Client determines which models are accessible to its users and, in particular, whether they may use models that are not compatible with zero data retention (clause 7.4). That configuration is the Client's, and the Client bears its consequences with regard to the processing it entrusts to the Service.</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4. Instructions documentées</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4. Documented instructions</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4.1. Polyware traite les données à caractère personnel uniquement sur instruction documentée du Client, y compris en ce qui concerne les transferts vers un pays tiers, sauf obligation légale contraire au titre du droit de l'Union ou du droit français. Dans ce cas, Polyware informe le Client de cette obligation avant le traitement, sauf si le droit applicable l'interdit pour des motifs importants d'intérêt public.</w:t>
            </w:r>
          </w:p>
          <w:p>
            <w:pPr>
              <w:spacing w:after="100" w:line="260"/>
            </w:pPr>
            <w:r>
              <w:rPr>
                <w:rFonts w:ascii="Calibri" w:cs="Calibri" w:eastAsia="Calibri" w:hAnsi="Calibri"/>
                <w:sz w:val="19"/>
                <w:szCs w:val="19"/>
              </w:rPr>
              <w:t xml:space="preserve">4.2. Le Contrat Principal, le présent DPA et l'utilisation du Service par le Client conformément à sa documentation constituent les instructions documentées du Client. Toute instruction complémentaire doit être formulée par écrit.</w:t>
            </w:r>
          </w:p>
          <w:p>
            <w:pPr>
              <w:spacing w:after="100" w:line="260"/>
            </w:pPr>
            <w:r>
              <w:rPr>
                <w:rFonts w:ascii="Calibri" w:cs="Calibri" w:eastAsia="Calibri" w:hAnsi="Calibri"/>
                <w:sz w:val="19"/>
                <w:szCs w:val="19"/>
              </w:rPr>
              <w:t xml:space="preserve">4.3. Polyware informe immédiatement le Client si, à son avis, une instruction constitue une violation du RGPD ou d'une autre disposition du droit de l'Union ou du droit d'un État membre relative à la protection des données.</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4.1. Polyware processes personal data only on documented instructions from the Client, including with regard to transfers to a third country, unless required to do so by Union or French law; in such a case, Polyware shall inform the Client of that legal requirement before processing, unless the applicable law prohibits this on important grounds of public interest.</w:t>
            </w:r>
          </w:p>
          <w:p>
            <w:pPr>
              <w:spacing w:after="100" w:line="260"/>
            </w:pPr>
            <w:r>
              <w:rPr>
                <w:rFonts w:ascii="Calibri" w:cs="Calibri" w:eastAsia="Calibri" w:hAnsi="Calibri"/>
                <w:sz w:val="19"/>
                <w:szCs w:val="19"/>
              </w:rPr>
              <w:t xml:space="preserve">4.2. The Main Agreement, this DPA and the Client's use of the Service in accordance with its documentation constitute the Client's documented instructions. Any additional instruction must be given in writing.</w:t>
            </w:r>
          </w:p>
          <w:p>
            <w:pPr>
              <w:spacing w:after="100" w:line="260"/>
            </w:pPr>
            <w:r>
              <w:rPr>
                <w:rFonts w:ascii="Calibri" w:cs="Calibri" w:eastAsia="Calibri" w:hAnsi="Calibri"/>
                <w:sz w:val="19"/>
                <w:szCs w:val="19"/>
              </w:rPr>
              <w:t xml:space="preserve">4.3. Polyware shall immediately inform the Client if, in its opinion, an instruction infringes the GDPR or other Union or Member State data protection provisions.</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5. Confidentialité</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5. Confidentiality</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5.1. Polyware veille à ce que les personnes autorisées à traiter les données à caractère personnel s'engagent à respecter la confidentialité ou soient soumises à une obligation légale appropriée de confidentialité.</w:t>
            </w:r>
          </w:p>
          <w:p>
            <w:pPr>
              <w:spacing w:after="100" w:line="260"/>
            </w:pPr>
            <w:r>
              <w:rPr>
                <w:rFonts w:ascii="Calibri" w:cs="Calibri" w:eastAsia="Calibri" w:hAnsi="Calibri"/>
                <w:sz w:val="19"/>
                <w:szCs w:val="19"/>
              </w:rPr>
              <w:t xml:space="preserve">5.2. L'accès aux données du Client est limité aux personnes qui en ont besoin pour l'exécution du Service, selon le principe du moindre privilège, et fait l'objet d'une journalisation.</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5.1. Polyware ensures that persons authorised to process the personal data have committed themselves to confidentiality or are under an appropriate statutory obligation of confidentiality.</w:t>
            </w:r>
          </w:p>
          <w:p>
            <w:pPr>
              <w:spacing w:after="100" w:line="260"/>
            </w:pPr>
            <w:r>
              <w:rPr>
                <w:rFonts w:ascii="Calibri" w:cs="Calibri" w:eastAsia="Calibri" w:hAnsi="Calibri"/>
                <w:sz w:val="19"/>
                <w:szCs w:val="19"/>
              </w:rPr>
              <w:t xml:space="preserve">5.2. Access to Client data is limited to persons who need it to perform the Service, on a least-privilege basis, and is logged.</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6. Sécurité du traitement</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6. Security of processing</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6.1. Polyware met en œuvre les mesures techniques et organisationnelles appropriées visées à l'article 32 du RGPD, décrites en Annexe II.</w:t>
            </w:r>
          </w:p>
          <w:p>
            <w:pPr>
              <w:spacing w:after="100" w:line="260"/>
            </w:pPr>
            <w:r>
              <w:rPr>
                <w:rFonts w:ascii="Calibri" w:cs="Calibri" w:eastAsia="Calibri" w:hAnsi="Calibri"/>
                <w:sz w:val="19"/>
                <w:szCs w:val="19"/>
              </w:rPr>
              <w:t xml:space="preserve">6.2. Polyware peut mettre à jour ces mesures, à condition que le niveau de sécurité ne soit pas dégradé.</w:t>
            </w:r>
          </w:p>
          <w:p>
            <w:pPr>
              <w:spacing w:after="100" w:line="260"/>
            </w:pPr>
            <w:r>
              <w:rPr>
                <w:rFonts w:ascii="Calibri" w:cs="Calibri" w:eastAsia="Calibri" w:hAnsi="Calibri"/>
                <w:sz w:val="19"/>
                <w:szCs w:val="19"/>
              </w:rPr>
              <w:t xml:space="preserve">6.3. Le Client reconnaît avoir évalué ces mesures et les juger appropriées au regard des risques présentés par ses traitements.</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6.1. Polyware implements the appropriate technical and organisational measures referred to in Article 32 GDPR, as described in Annex II.</w:t>
            </w:r>
          </w:p>
          <w:p>
            <w:pPr>
              <w:spacing w:after="100" w:line="260"/>
            </w:pPr>
            <w:r>
              <w:rPr>
                <w:rFonts w:ascii="Calibri" w:cs="Calibri" w:eastAsia="Calibri" w:hAnsi="Calibri"/>
                <w:sz w:val="19"/>
                <w:szCs w:val="19"/>
              </w:rPr>
              <w:t xml:space="preserve">6.2. Polyware may update those measures, provided that the level of security is not degraded.</w:t>
            </w:r>
          </w:p>
          <w:p>
            <w:pPr>
              <w:spacing w:after="100" w:line="260"/>
            </w:pPr>
            <w:r>
              <w:rPr>
                <w:rFonts w:ascii="Calibri" w:cs="Calibri" w:eastAsia="Calibri" w:hAnsi="Calibri"/>
                <w:sz w:val="19"/>
                <w:szCs w:val="19"/>
              </w:rPr>
              <w:t xml:space="preserve">6.3. The Client acknowledges that it has assessed those measures and considers them appropriate to the risks presented by its processing.</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7. Sous-traitants ultérieurs</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7. Sub-processors</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7.1. Le Client autorise de manière générale Polyware à faire appel à des sous-traitants ultérieurs. La liste des sous-traitants ultérieurs en vigueur figure en Annexe III et est tenue à jour à l'adresse indiquée dans cette annexe.</w:t>
            </w:r>
          </w:p>
          <w:p>
            <w:pPr>
              <w:spacing w:after="100" w:line="260"/>
            </w:pPr>
            <w:r>
              <w:rPr>
                <w:rFonts w:ascii="Calibri" w:cs="Calibri" w:eastAsia="Calibri" w:hAnsi="Calibri"/>
                <w:sz w:val="19"/>
                <w:szCs w:val="19"/>
              </w:rPr>
              <w:t xml:space="preserve">7.2. Polyware informe le Client de tout ajout ou remplacement de sous-traitant ultérieur avec un préavis d'au moins trente (30) jours, par courriel et/ou par publication sur la page dédiée.</w:t>
            </w:r>
          </w:p>
          <w:p>
            <w:pPr>
              <w:spacing w:after="100" w:line="260"/>
            </w:pPr>
            <w:r>
              <w:rPr>
                <w:rFonts w:ascii="Calibri" w:cs="Calibri" w:eastAsia="Calibri" w:hAnsi="Calibri"/>
                <w:sz w:val="19"/>
                <w:szCs w:val="19"/>
              </w:rPr>
              <w:t xml:space="preserve">7.3. Le Client peut s'opposer à un changement pour des motifs raisonnables et documentés liés à la protection des données, dans un délai de trente (30) jours à compter de la notification. À défaut de solution alternative raisonnable, le Client peut résilier le Service concerné sans pénalité, avec remboursement au prorata des sommes prépayées.</w:t>
            </w:r>
          </w:p>
          <w:p>
            <w:pPr>
              <w:spacing w:after="100" w:line="260"/>
            </w:pPr>
            <w:r>
              <w:rPr>
                <w:rFonts w:ascii="Calibri" w:cs="Calibri" w:eastAsia="Calibri" w:hAnsi="Calibri"/>
                <w:sz w:val="19"/>
                <w:szCs w:val="19"/>
              </w:rPr>
              <w:t xml:space="preserve">7.4. Fournisseurs de modèles et rétention nulle. Pour chaque requête adressée à un modèle compatible, le Service impose au prestataire de routage le mode de rétention nulle (« zero data retention »), de sorte que ni le prestataire de routage ni le fournisseur du modèle ne conservent la requête ni la réponse. Certains modèles ne sont pas compatibles avec ce mode. Ils sont identifiés comme tels dans l'interface du Service, avant utilisation. Dans les offres le permettant, l'administrateur de l'organisation du Client détermine si ses utilisateurs peuvent recourir à de tels modèles. Le recours à un modèle non compatible constitue une instruction documentée du Client au sens de l'article 4.</w:t>
            </w:r>
          </w:p>
          <w:p>
            <w:pPr>
              <w:spacing w:after="100" w:line="260"/>
            </w:pPr>
            <w:r>
              <w:rPr>
                <w:rFonts w:ascii="Calibri" w:cs="Calibri" w:eastAsia="Calibri" w:hAnsi="Calibri"/>
                <w:sz w:val="19"/>
                <w:szCs w:val="19"/>
              </w:rPr>
              <w:t xml:space="preserve">7.5. Polyware impose contractuellement à chaque sous-traitant ultérieur des obligations de protection des données substantiellement équivalentes à celles du présent DPA et demeure pleinement responsable envers le Client de l'exécution par ce sous-traitant de ses obligations.</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7.1. The Client gives Polyware general authorisation to engage sub-processors. The current list of sub-processors is set out in Annex III and is kept up to date at the address stated in that annex.</w:t>
            </w:r>
          </w:p>
          <w:p>
            <w:pPr>
              <w:spacing w:after="100" w:line="260"/>
            </w:pPr>
            <w:r>
              <w:rPr>
                <w:rFonts w:ascii="Calibri" w:cs="Calibri" w:eastAsia="Calibri" w:hAnsi="Calibri"/>
                <w:sz w:val="19"/>
                <w:szCs w:val="19"/>
              </w:rPr>
              <w:t xml:space="preserve">7.2. Polyware shall inform the Client of any addition or replacement of a sub-processor with at least thirty (30) days' prior notice, by email and/or by publication on the dedicated page.</w:t>
            </w:r>
          </w:p>
          <w:p>
            <w:pPr>
              <w:spacing w:after="100" w:line="260"/>
            </w:pPr>
            <w:r>
              <w:rPr>
                <w:rFonts w:ascii="Calibri" w:cs="Calibri" w:eastAsia="Calibri" w:hAnsi="Calibri"/>
                <w:sz w:val="19"/>
                <w:szCs w:val="19"/>
              </w:rPr>
              <w:t xml:space="preserve">7.3. The Client may object to a change on reasonable and documented data protection grounds within thirty (30) days of the notification. Failing a reasonable alternative, the Client may terminate the affected Service without penalty, with a pro-rata refund of prepaid amounts.</w:t>
            </w:r>
          </w:p>
          <w:p>
            <w:pPr>
              <w:spacing w:after="100" w:line="260"/>
            </w:pPr>
            <w:r>
              <w:rPr>
                <w:rFonts w:ascii="Calibri" w:cs="Calibri" w:eastAsia="Calibri" w:hAnsi="Calibri"/>
                <w:sz w:val="19"/>
                <w:szCs w:val="19"/>
              </w:rPr>
              <w:t xml:space="preserve">7.4. Model providers and zero data retention. For every request sent to a compatible model, the Service instructs the routing provider to apply zero data retention, so that neither the routing provider nor the model provider retains the prompt or the response. Certain models are not compatible with that mode; they are identified as such in the Service interface, before use. On plans that allow it, the administrator of the Client's organisation determines whether its users may use such models. Using a non-compatible model constitutes a documented instruction of the Client within the meaning of clause 4.</w:t>
            </w:r>
          </w:p>
          <w:p>
            <w:pPr>
              <w:spacing w:after="100" w:line="260"/>
            </w:pPr>
            <w:r>
              <w:rPr>
                <w:rFonts w:ascii="Calibri" w:cs="Calibri" w:eastAsia="Calibri" w:hAnsi="Calibri"/>
                <w:sz w:val="19"/>
                <w:szCs w:val="19"/>
              </w:rPr>
              <w:t xml:space="preserve">7.5. Polyware imposes on each sub-processor, by contract, data protection obligations substantially equivalent to those in this DPA, and remains fully liable to the Client for the performance by that sub-processor of its obligations.</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8. Traitement par les modèles d'intelligence artificielle</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8. Processing by artificial intelligence models</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8.1. Les requêtes, fichiers et contenus soumis par le Client sont transmis aux fournisseurs de modèles listés en Annexe III aux seules fins de générer la réponse demandée par le Client.</w:t>
            </w:r>
          </w:p>
          <w:p>
            <w:pPr>
              <w:spacing w:after="100" w:line="260"/>
            </w:pPr>
            <w:r>
              <w:rPr>
                <w:rFonts w:ascii="Calibri" w:cs="Calibri" w:eastAsia="Calibri" w:hAnsi="Calibri"/>
                <w:sz w:val="19"/>
                <w:szCs w:val="19"/>
              </w:rPr>
              <w:t xml:space="preserve">8.2. Polyware n'utilise pas les données du Client pour entraîner, affiner ou améliorer des modèles d'intelligence artificielle, qu'ils soient développés par Polyware ou par un tiers.</w:t>
            </w:r>
          </w:p>
          <w:p>
            <w:pPr>
              <w:spacing w:after="100" w:line="260"/>
            </w:pPr>
            <w:r>
              <w:rPr>
                <w:rFonts w:ascii="Calibri" w:cs="Calibri" w:eastAsia="Calibri" w:hAnsi="Calibri"/>
                <w:sz w:val="19"/>
                <w:szCs w:val="19"/>
              </w:rPr>
              <w:t xml:space="preserve">8.3. Polyware configure ses comptes auprès de ses prestataires d'inférence et de routage de sorte qu'aucune donnée du Client ne soit utilisée à des fins d'entraînement, d'affinage ou d'amélioration de produit. La rétention des requêtes et des réponses est régie par l'article 7.4. L'état de ces options par fournisseur est indiqué en Annexe III.</w:t>
            </w:r>
          </w:p>
          <w:p>
            <w:pPr>
              <w:spacing w:after="100" w:line="260"/>
            </w:pPr>
            <w:r>
              <w:rPr>
                <w:rFonts w:ascii="Calibri" w:cs="Calibri" w:eastAsia="Calibri" w:hAnsi="Calibri"/>
                <w:sz w:val="19"/>
                <w:szCs w:val="19"/>
              </w:rPr>
              <w:t xml:space="preserve">8.4. Les sorties générées (outputs) sont conservées dans l'espace du Client et traitées selon les mêmes conditions que les autres données du Client.</w:t>
            </w:r>
          </w:p>
          <w:p>
            <w:pPr>
              <w:spacing w:after="100" w:line="260"/>
            </w:pPr>
            <w:r>
              <w:rPr>
                <w:rFonts w:ascii="Calibri" w:cs="Calibri" w:eastAsia="Calibri" w:hAnsi="Calibri"/>
                <w:sz w:val="19"/>
                <w:szCs w:val="19"/>
              </w:rPr>
              <w:t xml:space="preserve">8.5. Le Client reconnaît qu'un modèle génératif peut produire des contenus inexacts. Lorsque ces contenus comportent des données à caractère personnel, il incombe au Client, en sa qualité de responsable du traitement, d'en vérifier l'exactitude avant tout usage produisant des effets à l'égard des personnes concernées.</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8.1. Prompts, files and content submitted by the Client are transmitted to the model providers listed in Annex III for the sole purpose of generating the output requested by the Client.</w:t>
            </w:r>
          </w:p>
          <w:p>
            <w:pPr>
              <w:spacing w:after="100" w:line="260"/>
            </w:pPr>
            <w:r>
              <w:rPr>
                <w:rFonts w:ascii="Calibri" w:cs="Calibri" w:eastAsia="Calibri" w:hAnsi="Calibri"/>
                <w:sz w:val="19"/>
                <w:szCs w:val="19"/>
              </w:rPr>
              <w:t xml:space="preserve">8.2. Polyware does not use Client data to train, fine-tune or improve artificial intelligence models, whether developed by Polyware or by a third party.</w:t>
            </w:r>
          </w:p>
          <w:p>
            <w:pPr>
              <w:spacing w:after="100" w:line="260"/>
            </w:pPr>
            <w:r>
              <w:rPr>
                <w:rFonts w:ascii="Calibri" w:cs="Calibri" w:eastAsia="Calibri" w:hAnsi="Calibri"/>
                <w:sz w:val="19"/>
                <w:szCs w:val="19"/>
              </w:rPr>
              <w:t xml:space="preserve">8.3. Polyware configures its accounts with its inference and routing providers so that no Client data is used for training, fine-tuning or product improvement. Retention of prompts and responses is governed by clause 7.4. The status of those options per provider is stated in Annex III.</w:t>
            </w:r>
          </w:p>
          <w:p>
            <w:pPr>
              <w:spacing w:after="100" w:line="260"/>
            </w:pPr>
            <w:r>
              <w:rPr>
                <w:rFonts w:ascii="Calibri" w:cs="Calibri" w:eastAsia="Calibri" w:hAnsi="Calibri"/>
                <w:sz w:val="19"/>
                <w:szCs w:val="19"/>
              </w:rPr>
              <w:t xml:space="preserve">8.4. Generated outputs are stored within the Client's workspace and processed under the same conditions as other Client data.</w:t>
            </w:r>
          </w:p>
          <w:p>
            <w:pPr>
              <w:spacing w:after="100" w:line="260"/>
            </w:pPr>
            <w:r>
              <w:rPr>
                <w:rFonts w:ascii="Calibri" w:cs="Calibri" w:eastAsia="Calibri" w:hAnsi="Calibri"/>
                <w:sz w:val="19"/>
                <w:szCs w:val="19"/>
              </w:rPr>
              <w:t xml:space="preserve">8.5. The Client acknowledges that a generative model may produce inaccurate content. Where such content contains personal data, it is for the Client, as controller, to verify its accuracy before any use producing effects with regard to data subjects.</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9. Transferts hors de l'Espace économique européen</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9. Transfers outside the European Economic Area</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9.1. Les données du Client sont hébergées et traitées au sein de l'Union européenne par défaut, conformément à l'Annexe III.</w:t>
            </w:r>
          </w:p>
          <w:p>
            <w:pPr>
              <w:spacing w:after="100" w:line="260"/>
            </w:pPr>
            <w:r>
              <w:rPr>
                <w:rFonts w:ascii="Calibri" w:cs="Calibri" w:eastAsia="Calibri" w:hAnsi="Calibri"/>
                <w:sz w:val="19"/>
                <w:szCs w:val="19"/>
              </w:rPr>
              <w:t xml:space="preserve">9.2. Lorsqu'un transfert vers un pays tiers est nécessaire, Polyware s'assure qu'il repose sur un mécanisme valable au titre du chapitre V du RGPD : décision d'adéquation (y compris, pour les entités américaines certifiées, le cadre de protection des données UE–États-Unis), clauses contractuelles types, ou autre garantie appropriée.</w:t>
            </w:r>
          </w:p>
          <w:p>
            <w:pPr>
              <w:spacing w:after="100" w:line="260"/>
            </w:pPr>
            <w:r>
              <w:rPr>
                <w:rFonts w:ascii="Calibri" w:cs="Calibri" w:eastAsia="Calibri" w:hAnsi="Calibri"/>
                <w:sz w:val="19"/>
                <w:szCs w:val="19"/>
              </w:rPr>
              <w:t xml:space="preserve">9.3. Lorsque les CCT s'appliquent, elles sont réputées incorporées au présent DPA, Module Deux (responsable du traitement vers sous-traitant) ou Module Trois (sous-traitant vers sous-traitant ultérieur) selon le rôle du Client, selon les modalités suivantes. Clause 9(a), option « autorisation générale écrite », avec un préavis de trente (30) jours. Clause 11(a), sans l'option d'organe de règlement des litiges. Clause 17, droit français. Clause 18(b), juridictions françaises. Les Annexes I, II et III du présent DPA valent Annexes I, II et III des CCT.</w:t>
            </w:r>
          </w:p>
          <w:p>
            <w:pPr>
              <w:spacing w:after="100" w:line="260"/>
            </w:pPr>
            <w:r>
              <w:rPr>
                <w:rFonts w:ascii="Calibri" w:cs="Calibri" w:eastAsia="Calibri" w:hAnsi="Calibri"/>
                <w:sz w:val="19"/>
                <w:szCs w:val="19"/>
              </w:rPr>
              <w:t xml:space="preserve">9.4. Polyware met à disposition du Client, sur demande raisonnable, les informations nécessaires à la réalisation d'une analyse d'impact du transfert.</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9.1. Client data is hosted and processed within the European Union by default, in accordance with Annex III.</w:t>
            </w:r>
          </w:p>
          <w:p>
            <w:pPr>
              <w:spacing w:after="100" w:line="260"/>
            </w:pPr>
            <w:r>
              <w:rPr>
                <w:rFonts w:ascii="Calibri" w:cs="Calibri" w:eastAsia="Calibri" w:hAnsi="Calibri"/>
                <w:sz w:val="19"/>
                <w:szCs w:val="19"/>
              </w:rPr>
              <w:t xml:space="preserve">9.2. Where a transfer to a third country is necessary, Polyware ensures that it relies on a valid mechanism under Chapter V GDPR: an adequacy decision (including, for certified US entities, the EU–US Data Privacy Framework), standard contractual clauses, or another appropriate safeguard.</w:t>
            </w:r>
          </w:p>
          <w:p>
            <w:pPr>
              <w:spacing w:after="100" w:line="260"/>
            </w:pPr>
            <w:r>
              <w:rPr>
                <w:rFonts w:ascii="Calibri" w:cs="Calibri" w:eastAsia="Calibri" w:hAnsi="Calibri"/>
                <w:sz w:val="19"/>
                <w:szCs w:val="19"/>
              </w:rPr>
              <w:t xml:space="preserve">9.3. Where the SCCs apply, they are deemed incorporated into this DPA, Module Two (controller to processor) or Module Three (processor to sub-processor) according to the Client's role, with: the clause 9(a) “general written authorisation” option and a thirty (30) day notice period; clause 11(a) without the independent dispute resolution option; clause 17, French law; clause 18(b), French courts. Annexes I, II and III of this DPA serve as Annexes I, II and III of the SCCs.</w:t>
            </w:r>
          </w:p>
          <w:p>
            <w:pPr>
              <w:spacing w:after="100" w:line="260"/>
            </w:pPr>
            <w:r>
              <w:rPr>
                <w:rFonts w:ascii="Calibri" w:cs="Calibri" w:eastAsia="Calibri" w:hAnsi="Calibri"/>
                <w:sz w:val="19"/>
                <w:szCs w:val="19"/>
              </w:rPr>
              <w:t xml:space="preserve">9.4. Polyware shall make available to the Client, on reasonable request, the information necessary to carry out a transfer impact assessment.</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10. Assistance au Client</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10. Assistance to the Client</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10.1. Droits des personnes concernées. Polyware met à disposition du Client des fonctionnalités permettant l'accès, la rectification, l'effacement et l'export des données. Si une demande d'une personne concernée est adressée directement à Polyware, celle-ci la transmet au Client sans délai indu et n'y répond pas elle-même, sauf instruction du Client.</w:t>
            </w:r>
          </w:p>
          <w:p>
            <w:pPr>
              <w:spacing w:after="100" w:line="260"/>
            </w:pPr>
            <w:r>
              <w:rPr>
                <w:rFonts w:ascii="Calibri" w:cs="Calibri" w:eastAsia="Calibri" w:hAnsi="Calibri"/>
                <w:sz w:val="19"/>
                <w:szCs w:val="19"/>
              </w:rPr>
              <w:t xml:space="preserve">10.2. Polyware assiste le Client, compte tenu de la nature du traitement et des informations dont elle dispose, dans le respect des obligations prévues aux articles 32 à 36 du RGPD (sécurité, notification des violations, analyses d'impact et consultation préalable).</w:t>
            </w:r>
          </w:p>
          <w:p>
            <w:pPr>
              <w:spacing w:after="100" w:line="260"/>
            </w:pPr>
            <w:r>
              <w:rPr>
                <w:rFonts w:ascii="Calibri" w:cs="Calibri" w:eastAsia="Calibri" w:hAnsi="Calibri"/>
                <w:sz w:val="19"/>
                <w:szCs w:val="19"/>
              </w:rPr>
              <w:t xml:space="preserve">10.3. Une assistance excédant de manière significative les efforts raisonnables peut faire l'objet d'une facturation au tarif horaire en vigueur, après information préalable du Client.</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10.1. Data subject rights. Polyware provides the Client with functionality enabling access, rectification, erasure and export of data. If a data subject request is addressed directly to Polyware, Polyware shall forward it to the Client without undue delay and shall not respond itself, unless instructed by the Client.</w:t>
            </w:r>
          </w:p>
          <w:p>
            <w:pPr>
              <w:spacing w:after="100" w:line="260"/>
            </w:pPr>
            <w:r>
              <w:rPr>
                <w:rFonts w:ascii="Calibri" w:cs="Calibri" w:eastAsia="Calibri" w:hAnsi="Calibri"/>
                <w:sz w:val="19"/>
                <w:szCs w:val="19"/>
              </w:rPr>
              <w:t xml:space="preserve">10.2. Polyware assists the Client, taking into account the nature of the processing and the information available to it, in ensuring compliance with the obligations under Articles 32 to 36 GDPR (security, breach notification, impact assessments and prior consultation).</w:t>
            </w:r>
          </w:p>
          <w:p>
            <w:pPr>
              <w:spacing w:after="100" w:line="260"/>
            </w:pPr>
            <w:r>
              <w:rPr>
                <w:rFonts w:ascii="Calibri" w:cs="Calibri" w:eastAsia="Calibri" w:hAnsi="Calibri"/>
                <w:sz w:val="19"/>
                <w:szCs w:val="19"/>
              </w:rPr>
              <w:t xml:space="preserve">10.3. Assistance significantly exceeding reasonable effort may be charged at the then-current hourly rate, after prior notice to the Client.</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11. Violation de données à caractère personnel</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11. Personal data breach</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11.1. Polyware notifie au Client toute violation de données à caractère personnel affectant les données du Client dans les meilleurs délais et, en tout état de cause, dans un délai de soixante-douze (72) heures après en avoir pris connaissance.</w:t>
            </w:r>
          </w:p>
          <w:p>
            <w:pPr>
              <w:spacing w:after="100" w:line="260"/>
            </w:pPr>
            <w:r>
              <w:rPr>
                <w:rFonts w:ascii="Calibri" w:cs="Calibri" w:eastAsia="Calibri" w:hAnsi="Calibri"/>
                <w:sz w:val="19"/>
                <w:szCs w:val="19"/>
              </w:rPr>
              <w:t xml:space="preserve">11.2. La notification décrit, dans la mesure des informations disponibles : la nature de la violation, les catégories et le nombre approximatif de personnes concernées et d'enregistrements, les conséquences probables, les mesures prises ou proposées, et le point de contact.</w:t>
            </w:r>
          </w:p>
          <w:p>
            <w:pPr>
              <w:spacing w:after="100" w:line="260"/>
            </w:pPr>
            <w:r>
              <w:rPr>
                <w:rFonts w:ascii="Calibri" w:cs="Calibri" w:eastAsia="Calibri" w:hAnsi="Calibri"/>
                <w:sz w:val="19"/>
                <w:szCs w:val="19"/>
              </w:rPr>
              <w:t xml:space="preserve">11.3. Polyware coopère avec le Client et documente la violation afin de permettre au Client de satisfaire à ses obligations au titre des articles 33 et 34 du RGPD. La notification à l'autorité de contrôle et aux personnes concernées incombe au Client.</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11.1. Polyware shall notify the Client of any personal data breach affecting Client data without undue delay and in any event within seventy-two (72) hours of becoming aware of it.</w:t>
            </w:r>
          </w:p>
          <w:p>
            <w:pPr>
              <w:spacing w:after="100" w:line="260"/>
            </w:pPr>
            <w:r>
              <w:rPr>
                <w:rFonts w:ascii="Calibri" w:cs="Calibri" w:eastAsia="Calibri" w:hAnsi="Calibri"/>
                <w:sz w:val="19"/>
                <w:szCs w:val="19"/>
              </w:rPr>
              <w:t xml:space="preserve">11.2. The notification shall describe, to the extent information is available: the nature of the breach, the categories and approximate number of data subjects and records concerned, the likely consequences, the measures taken or proposed, and the contact point.</w:t>
            </w:r>
          </w:p>
          <w:p>
            <w:pPr>
              <w:spacing w:after="100" w:line="260"/>
            </w:pPr>
            <w:r>
              <w:rPr>
                <w:rFonts w:ascii="Calibri" w:cs="Calibri" w:eastAsia="Calibri" w:hAnsi="Calibri"/>
                <w:sz w:val="19"/>
                <w:szCs w:val="19"/>
              </w:rPr>
              <w:t xml:space="preserve">11.3. Polyware shall cooperate with the Client and document the breach so as to enable the Client to meet its obligations under Articles 33 and 34 GDPR. Notification to the supervisory authority and to data subjects is the Client's responsibility.</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12. Suppression ou restitution des données</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12. Deletion or return of data</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12.1. Le Client peut exporter ses données à tout moment pendant la durée du Contrat Principal au moyen des fonctionnalités du Service.</w:t>
            </w:r>
          </w:p>
          <w:p>
            <w:pPr>
              <w:spacing w:after="100" w:line="260"/>
            </w:pPr>
            <w:r>
              <w:rPr>
                <w:rFonts w:ascii="Calibri" w:cs="Calibri" w:eastAsia="Calibri" w:hAnsi="Calibri"/>
                <w:sz w:val="19"/>
                <w:szCs w:val="19"/>
              </w:rPr>
              <w:t xml:space="preserve">12.2. À la fin de la fourniture du Service, Polyware supprime les données du Client dans un délai de trente (30) jours, ou les restitue au Client sur demande écrite formulée avant l'expiration de ce délai.</w:t>
            </w:r>
          </w:p>
          <w:p>
            <w:pPr>
              <w:spacing w:after="100" w:line="260"/>
            </w:pPr>
            <w:r>
              <w:rPr>
                <w:rFonts w:ascii="Calibri" w:cs="Calibri" w:eastAsia="Calibri" w:hAnsi="Calibri"/>
                <w:sz w:val="19"/>
                <w:szCs w:val="19"/>
              </w:rPr>
              <w:t xml:space="preserve">12.3. Les sauvegardes chiffrées sont supprimées selon le cycle de rotation décrit en Annexe II, et en tout état de cause dans un délai de quatre-vingt-dix (90) jours.</w:t>
            </w:r>
          </w:p>
          <w:p>
            <w:pPr>
              <w:spacing w:after="100" w:line="260"/>
            </w:pPr>
            <w:r>
              <w:rPr>
                <w:rFonts w:ascii="Calibri" w:cs="Calibri" w:eastAsia="Calibri" w:hAnsi="Calibri"/>
                <w:sz w:val="19"/>
                <w:szCs w:val="19"/>
              </w:rPr>
              <w:t xml:space="preserve">12.4. Polyware peut conserver les données dans la mesure requise par le droit de l'Union ou le droit français, pour la durée prévue par ce droit et dans les seules finalités qu'il impose.</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12.1. The Client may export its data at any time during the term of the Main Agreement using the functionality of the Service.</w:t>
            </w:r>
          </w:p>
          <w:p>
            <w:pPr>
              <w:spacing w:after="100" w:line="260"/>
            </w:pPr>
            <w:r>
              <w:rPr>
                <w:rFonts w:ascii="Calibri" w:cs="Calibri" w:eastAsia="Calibri" w:hAnsi="Calibri"/>
                <w:sz w:val="19"/>
                <w:szCs w:val="19"/>
              </w:rPr>
              <w:t xml:space="preserve">12.2. On termination of the provision of the Service, Polyware shall delete Client data within thirty (30) days, or return it to the Client on written request made before the expiry of that period.</w:t>
            </w:r>
          </w:p>
          <w:p>
            <w:pPr>
              <w:spacing w:after="100" w:line="260"/>
            </w:pPr>
            <w:r>
              <w:rPr>
                <w:rFonts w:ascii="Calibri" w:cs="Calibri" w:eastAsia="Calibri" w:hAnsi="Calibri"/>
                <w:sz w:val="19"/>
                <w:szCs w:val="19"/>
              </w:rPr>
              <w:t xml:space="preserve">12.3. Encrypted backups are deleted according to the rotation cycle described in Annex II, and in any event within ninety (90) days.</w:t>
            </w:r>
          </w:p>
          <w:p>
            <w:pPr>
              <w:spacing w:after="100" w:line="260"/>
            </w:pPr>
            <w:r>
              <w:rPr>
                <w:rFonts w:ascii="Calibri" w:cs="Calibri" w:eastAsia="Calibri" w:hAnsi="Calibri"/>
                <w:sz w:val="19"/>
                <w:szCs w:val="19"/>
              </w:rPr>
              <w:t xml:space="preserve">12.4. Polyware may retain data to the extent required by Union or French law, for the period prescribed by that law and solely for the purposes it imposes.</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13. Audit et mise à disposition d'informations</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13. Audit and provision of information</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13.1. Polyware met à la disposition du Client toutes les informations nécessaires pour démontrer le respect des obligations prévues à l'article 28 du RGPD.</w:t>
            </w:r>
          </w:p>
          <w:p>
            <w:pPr>
              <w:spacing w:after="100" w:line="260"/>
            </w:pPr>
            <w:r>
              <w:rPr>
                <w:rFonts w:ascii="Calibri" w:cs="Calibri" w:eastAsia="Calibri" w:hAnsi="Calibri"/>
                <w:sz w:val="19"/>
                <w:szCs w:val="19"/>
              </w:rPr>
              <w:t xml:space="preserve">13.2. Le Client peut, à ses frais, réaliser un audit ou le faire réaliser par un auditeur indépendant soumis à une obligation de confidentialité et n'étant pas un concurrent de Polyware, une fois par période de douze (12) mois, moyennant un préavis écrit de trente (30) jours, pendant les heures ouvrées, sans perturbation déraisonnable des activités de Polyware.</w:t>
            </w:r>
          </w:p>
          <w:p>
            <w:pPr>
              <w:spacing w:after="100" w:line="260"/>
            </w:pPr>
            <w:r>
              <w:rPr>
                <w:rFonts w:ascii="Calibri" w:cs="Calibri" w:eastAsia="Calibri" w:hAnsi="Calibri"/>
                <w:sz w:val="19"/>
                <w:szCs w:val="19"/>
              </w:rPr>
              <w:t xml:space="preserve">13.3. Un audit supplémentaire peut être réalisé à la suite d'une violation de données confirmée affectant le Client ou d'une demande contraignante d'une autorité de contrôle.</w:t>
            </w:r>
          </w:p>
          <w:p>
            <w:pPr>
              <w:spacing w:after="100" w:line="260"/>
            </w:pPr>
            <w:r>
              <w:rPr>
                <w:rFonts w:ascii="Calibri" w:cs="Calibri" w:eastAsia="Calibri" w:hAnsi="Calibri"/>
                <w:sz w:val="19"/>
                <w:szCs w:val="19"/>
              </w:rPr>
              <w:t xml:space="preserve">13.4. Polyware peut satisfaire à son obligation en fournissant des rapports d'audit, certifications ou questionnaires de sécurité complétés lorsqu'ils répondent raisonnablement aux demandes du Client.</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13.1. Polyware shall make available to the Client all information necessary to demonstrate compliance with the obligations laid down in Article 28 GDPR.</w:t>
            </w:r>
          </w:p>
          <w:p>
            <w:pPr>
              <w:spacing w:after="100" w:line="260"/>
            </w:pPr>
            <w:r>
              <w:rPr>
                <w:rFonts w:ascii="Calibri" w:cs="Calibri" w:eastAsia="Calibri" w:hAnsi="Calibri"/>
                <w:sz w:val="19"/>
                <w:szCs w:val="19"/>
              </w:rPr>
              <w:t xml:space="preserve">13.2. The Client may, at its own cost, conduct an audit or mandate an independent auditor bound by confidentiality and not a competitor of Polyware, once per twelve (12) month period, on thirty (30) days' written notice, during business hours, without unreasonable disruption to Polyware's operations.</w:t>
            </w:r>
          </w:p>
          <w:p>
            <w:pPr>
              <w:spacing w:after="100" w:line="260"/>
            </w:pPr>
            <w:r>
              <w:rPr>
                <w:rFonts w:ascii="Calibri" w:cs="Calibri" w:eastAsia="Calibri" w:hAnsi="Calibri"/>
                <w:sz w:val="19"/>
                <w:szCs w:val="19"/>
              </w:rPr>
              <w:t xml:space="preserve">13.3. An additional audit may be carried out following a confirmed personal data breach affecting the Client or a binding request from a supervisory authority.</w:t>
            </w:r>
          </w:p>
          <w:p>
            <w:pPr>
              <w:spacing w:after="100" w:line="260"/>
            </w:pPr>
            <w:r>
              <w:rPr>
                <w:rFonts w:ascii="Calibri" w:cs="Calibri" w:eastAsia="Calibri" w:hAnsi="Calibri"/>
                <w:sz w:val="19"/>
                <w:szCs w:val="19"/>
              </w:rPr>
              <w:t xml:space="preserve">13.4. Polyware may satisfy this obligation by providing audit reports, certifications or completed security questionnaires where these reasonably address the Client's requests.</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14. Responsabilité</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14. Liability</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14.1. La responsabilité de chaque Partie au titre du présent DPA est soumise aux limitations et exclusions de responsabilité prévues au Contrat Principal, sous réserve des dispositions impératives de l'article 82 du RGPD.</w:t>
            </w:r>
          </w:p>
          <w:p>
            <w:pPr>
              <w:spacing w:after="100" w:line="260"/>
            </w:pPr>
            <w:r>
              <w:rPr>
                <w:rFonts w:ascii="Calibri" w:cs="Calibri" w:eastAsia="Calibri" w:hAnsi="Calibri"/>
                <w:sz w:val="19"/>
                <w:szCs w:val="19"/>
              </w:rPr>
              <w:t xml:space="preserve">14.2. Aucune stipulation du présent DPA ne limite les droits des personnes concernées au titre du RGPD.</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14.1. Each Party's liability under this DPA is subject to the limitations and exclusions of liability set out in the Main Agreement, without prejudice to the mandatory provisions of Article 82 GDPR.</w:t>
            </w:r>
          </w:p>
          <w:p>
            <w:pPr>
              <w:spacing w:after="100" w:line="260"/>
            </w:pPr>
            <w:r>
              <w:rPr>
                <w:rFonts w:ascii="Calibri" w:cs="Calibri" w:eastAsia="Calibri" w:hAnsi="Calibri"/>
                <w:sz w:val="19"/>
                <w:szCs w:val="19"/>
              </w:rPr>
              <w:t xml:space="preserve">14.2. Nothing in this DPA limits the rights of data subjects under the GDPR.</w:t>
            </w:r>
          </w:p>
        </w:tc>
      </w:tr>
      <w:tr>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15. Dispositions finales</w:t>
            </w:r>
          </w:p>
        </w:tc>
        <w:tc>
          <w:tcPr>
            <w:tcW w:type="dxa" w:w="4680"/>
            <w:tcBorders>
              <w:top w:val="none" w:color="FFFFFF" w:sz="0"/>
              <w:left w:val="none" w:color="FFFFFF" w:sz="0"/>
              <w:bottom w:val="none" w:color="FFFFFF" w:sz="0"/>
              <w:right w:val="none" w:color="FFFFFF" w:sz="0"/>
            </w:tcBorders>
            <w:shd w:fill="EFEFEF" w:color="auto" w:val="clear"/>
            <w:tcMar>
              <w:top w:type="dxa" w:w="80"/>
              <w:left w:type="dxa" w:w="120"/>
              <w:bottom w:type="dxa" w:w="80"/>
              <w:right w:type="dxa" w:w="120"/>
            </w:tcMar>
            <w:vAlign w:val="top"/>
          </w:tcPr>
          <w:p>
            <w:pPr>
              <w:spacing w:after="60" w:line="260"/>
            </w:pPr>
            <w:r>
              <w:rPr>
                <w:rFonts w:ascii="Calibri" w:cs="Calibri" w:eastAsia="Calibri" w:hAnsi="Calibri"/>
                <w:b/>
                <w:bCs/>
                <w:sz w:val="20"/>
                <w:szCs w:val="20"/>
              </w:rPr>
              <w:t xml:space="preserve">15. Final provisions</w:t>
            </w:r>
          </w:p>
        </w:tc>
      </w:tr>
      <w:tr>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15.1. Le présent DPA est régi par le droit français.</w:t>
            </w:r>
          </w:p>
          <w:p>
            <w:pPr>
              <w:spacing w:after="100" w:line="260"/>
            </w:pPr>
            <w:r>
              <w:rPr>
                <w:rFonts w:ascii="Calibri" w:cs="Calibri" w:eastAsia="Calibri" w:hAnsi="Calibri"/>
                <w:sz w:val="19"/>
                <w:szCs w:val="19"/>
              </w:rPr>
              <w:t xml:space="preserve">15.2. Tout litige relatif à son interprétation ou à son exécution relève de la compétence exclusive des tribunaux compétents de Paris, sous réserve des règles impératives de compétence.</w:t>
            </w:r>
          </w:p>
          <w:p>
            <w:pPr>
              <w:spacing w:after="100" w:line="260"/>
            </w:pPr>
            <w:r>
              <w:rPr>
                <w:rFonts w:ascii="Calibri" w:cs="Calibri" w:eastAsia="Calibri" w:hAnsi="Calibri"/>
                <w:sz w:val="19"/>
                <w:szCs w:val="19"/>
              </w:rPr>
              <w:t xml:space="preserve">15.3. Le présent DPA est rédigé en français et en anglais. En cas de divergence, la version française prévaut.</w:t>
            </w:r>
          </w:p>
          <w:p>
            <w:pPr>
              <w:spacing w:after="100" w:line="260"/>
            </w:pPr>
            <w:r>
              <w:rPr>
                <w:rFonts w:ascii="Calibri" w:cs="Calibri" w:eastAsia="Calibri" w:hAnsi="Calibri"/>
                <w:sz w:val="19"/>
                <w:szCs w:val="19"/>
              </w:rPr>
              <w:t xml:space="preserve">15.4. Si une stipulation est jugée invalide, les autres stipulations demeurent en vigueur.</w:t>
            </w:r>
          </w:p>
          <w:p>
            <w:pPr>
              <w:spacing w:after="100" w:line="260"/>
            </w:pPr>
            <w:r>
              <w:rPr>
                <w:rFonts w:ascii="Calibri" w:cs="Calibri" w:eastAsia="Calibri" w:hAnsi="Calibri"/>
                <w:sz w:val="19"/>
                <w:szCs w:val="19"/>
              </w:rPr>
              <w:t xml:space="preserve">15.5. Polyware peut modifier le présent DPA pour tenir compte d'une évolution du droit applicable, moyennant un préavis de trente (30) jours.</w:t>
            </w:r>
          </w:p>
        </w:tc>
        <w:tc>
          <w:tcPr>
            <w:tcW w:type="dxa" w:w="4680"/>
            <w:tcBorders>
              <w:top w:val="none" w:color="FFFFFF" w:sz="0"/>
              <w:left w:val="none" w:color="FFFFFF" w:sz="0"/>
              <w:bottom w:val="none" w:color="FFFFFF" w:sz="0"/>
              <w:right w:val="none" w:color="FFFFFF" w:sz="0"/>
            </w:tcBorders>
            <w:tcMar>
              <w:top w:type="dxa" w:w="80"/>
              <w:left w:type="dxa" w:w="120"/>
              <w:bottom w:type="dxa" w:w="80"/>
              <w:right w:type="dxa" w:w="120"/>
            </w:tcMar>
            <w:vAlign w:val="top"/>
          </w:tcPr>
          <w:p>
            <w:pPr>
              <w:spacing w:after="100" w:line="260"/>
            </w:pPr>
            <w:r>
              <w:rPr>
                <w:rFonts w:ascii="Calibri" w:cs="Calibri" w:eastAsia="Calibri" w:hAnsi="Calibri"/>
                <w:sz w:val="19"/>
                <w:szCs w:val="19"/>
              </w:rPr>
              <w:t xml:space="preserve">15.1. This DPA is governed by French law.</w:t>
            </w:r>
          </w:p>
          <w:p>
            <w:pPr>
              <w:spacing w:after="100" w:line="260"/>
            </w:pPr>
            <w:r>
              <w:rPr>
                <w:rFonts w:ascii="Calibri" w:cs="Calibri" w:eastAsia="Calibri" w:hAnsi="Calibri"/>
                <w:sz w:val="19"/>
                <w:szCs w:val="19"/>
              </w:rPr>
              <w:t xml:space="preserve">15.2. Any dispute relating to its interpretation or performance falls within the exclusive jurisdiction of the competent courts of Paris, subject to mandatory rules of jurisdiction.</w:t>
            </w:r>
          </w:p>
          <w:p>
            <w:pPr>
              <w:spacing w:after="100" w:line="260"/>
            </w:pPr>
            <w:r>
              <w:rPr>
                <w:rFonts w:ascii="Calibri" w:cs="Calibri" w:eastAsia="Calibri" w:hAnsi="Calibri"/>
                <w:sz w:val="19"/>
                <w:szCs w:val="19"/>
              </w:rPr>
              <w:t xml:space="preserve">15.3. This DPA is drawn up in French and in English. In the event of a discrepancy, the French version prevails.</w:t>
            </w:r>
          </w:p>
          <w:p>
            <w:pPr>
              <w:spacing w:after="100" w:line="260"/>
            </w:pPr>
            <w:r>
              <w:rPr>
                <w:rFonts w:ascii="Calibri" w:cs="Calibri" w:eastAsia="Calibri" w:hAnsi="Calibri"/>
                <w:sz w:val="19"/>
                <w:szCs w:val="19"/>
              </w:rPr>
              <w:t xml:space="preserve">15.4. If any provision is held invalid, the remaining provisions remain in force.</w:t>
            </w:r>
          </w:p>
          <w:p>
            <w:pPr>
              <w:spacing w:after="100" w:line="260"/>
            </w:pPr>
            <w:r>
              <w:rPr>
                <w:rFonts w:ascii="Calibri" w:cs="Calibri" w:eastAsia="Calibri" w:hAnsi="Calibri"/>
                <w:sz w:val="19"/>
                <w:szCs w:val="19"/>
              </w:rPr>
              <w:t xml:space="preserve">15.5. Polyware may amend this DPA to reflect a change in applicable law, on thirty (30) days' notice.</w:t>
            </w:r>
          </w:p>
        </w:tc>
      </w:tr>
    </w:tbl>
    <w:p>
      <w:r>
        <w:br w:type="page"/>
      </w:r>
    </w:p>
    <w:p>
      <w:pPr>
        <w:spacing w:after="30" w:line="260"/>
      </w:pPr>
      <w:r>
        <w:rPr>
          <w:rFonts w:ascii="Calibri" w:cs="Calibri" w:eastAsia="Calibri" w:hAnsi="Calibri"/>
          <w:b/>
          <w:bCs/>
          <w:sz w:val="24"/>
          <w:szCs w:val="24"/>
        </w:rPr>
        <w:t xml:space="preserve">ANNEXE I : DESCRIPTION DU TRAITEMENT</w:t>
      </w:r>
    </w:p>
    <w:p>
      <w:pPr>
        <w:spacing w:after="160" w:line="260"/>
      </w:pPr>
      <w:r>
        <w:rPr>
          <w:rFonts w:ascii="Calibri" w:cs="Calibri" w:eastAsia="Calibri" w:hAnsi="Calibri"/>
          <w:b/>
          <w:bCs/>
          <w:color w:val="555555"/>
          <w:sz w:val="20"/>
          <w:szCs w:val="20"/>
        </w:rPr>
        <w:t xml:space="preserve">ANNEX I: DESCRIPTION OF THE PROCESSING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Rubrique / Item</w:t>
            </w:r>
          </w:p>
        </w:tc>
        <w:tc>
          <w:tcPr>
            <w:tcW w:type="dxa" w:w="676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Description</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Objet  /  Subject matter</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Fourniture de la plateforme brome.ai : conversation assistée par IA, génération et transformation de contenus, stockage de fichiers et d'historiques, gestion de comptes et facturation. / Provision of the brome.ai platform: AI-assisted chat, content generation and transformation, storage of files and histories, account management and billing.</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Nature du traitement  /  Nature of processing</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Collecte, enregistrement, organisation, structuration, conservation, consultation, transmission à des fournisseurs de modèles, effacement. / Collection, recording, organisation, structuring, storage, consultation, transmission to model providers, erasure.</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Finalité  /  Purpose</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Exécution du Contrat Principal : mise à disposition du Service, support, sécurité, facturation. Aucune finalité propre à Polyware. / Performance of the Main Agreement: provision of the Service, support, security, billing. No independent purpose of Polyware.</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Durée  /  Duration</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Durée du Contrat Principal, majorée des délais de suppression prévus à l'article 12. / Term of the Main Agreement, plus the deletion periods set out in clause 12.</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Catégories de personnes concernées  /  Categories of data subjects</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Utilisateurs du Client (salariés, prestataires, administrateurs). Toute personne dont les données figurent dans les requêtes, fichiers ou contenus soumis par le Client, notamment ses clients, prospects et partenaires. / The Client's users (employees, contractors, administrators); any person whose data appears in prompts, files or content submitted by the Client (the Client's customers, prospects, partners).</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Catégories de données  /  Categories of data</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Données de compte (nom, adresse électronique, identifiant, rôle). Données de facturation (raison sociale, adresse, TVA, identifiants de paiement), étant précisé que les données de carte sont traitées directement par le prestataire de paiement. Contenu des requêtes et des fichiers téléversés. Contenus générés. Journaux techniques (adresse IP, horodatage, agent utilisateur, identifiants de session). Données d'usage produit. / Account data (name, email address, user ID, role); billing data (company name, address, VAT number, payment references, card data being handled directly by the payment provider); prompt and uploaded file content; generated content; technical logs (IP address, timestamp, user agent, session identifiers); product usage data.</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Catégories particulières  /  Special categories</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Non prévues. Le Service n'est pas conçu pour traiter des données visées aux articles 9 et 10 du RGPD (voir article 3.3). / Not envisaged. The Service is not designed to process data covered by Articles 9 and 10 GDPR (see clause 3.3).</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Fréquence  /  Frequency</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Continue, pendant la durée du Contrat Principal. / Continuous, for the term of the Main Agreement.</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Responsable du traitement  /  Controller</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Le Client, tel qu'identifié en page de signature. / The Client, as identified on the signature page.</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Sous-traitant  /  Processor</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Polyware SAS, SIREN 103 977 302. / Polyware SAS, French company no. 103 977 302.</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Contact protection des données  /  Data protection contact</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dpo@brome.ai</w:t>
            </w:r>
          </w:p>
        </w:tc>
      </w:tr>
    </w:tbl>
    <w:p>
      <w:r>
        <w:br w:type="page"/>
      </w:r>
    </w:p>
    <w:p>
      <w:pPr>
        <w:spacing w:after="30" w:line="260"/>
      </w:pPr>
      <w:r>
        <w:rPr>
          <w:rFonts w:ascii="Calibri" w:cs="Calibri" w:eastAsia="Calibri" w:hAnsi="Calibri"/>
          <w:b/>
          <w:bCs/>
          <w:sz w:val="24"/>
          <w:szCs w:val="24"/>
        </w:rPr>
        <w:t xml:space="preserve">ANNEXE II : MESURES TECHNIQUES ET ORGANISATIONNELLES</w:t>
      </w:r>
    </w:p>
    <w:p>
      <w:pPr>
        <w:spacing w:after="160" w:line="260"/>
      </w:pPr>
      <w:r>
        <w:rPr>
          <w:rFonts w:ascii="Calibri" w:cs="Calibri" w:eastAsia="Calibri" w:hAnsi="Calibri"/>
          <w:b/>
          <w:bCs/>
          <w:color w:val="555555"/>
          <w:sz w:val="20"/>
          <w:szCs w:val="20"/>
        </w:rPr>
        <w:t xml:space="preserve">ANNEX II: TECHNICAL AND ORGANISATIONAL MEASURES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Domaine / Area</w:t>
            </w:r>
          </w:p>
        </w:tc>
        <w:tc>
          <w:tcPr>
            <w:tcW w:type="dxa" w:w="676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Mesures / Measures</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Chiffrement  /  Encryption</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TLS 1.2 ou supérieur pour tous les flux externes. Chiffrement au repos des bases de données, du stockage objet et des sauvegardes. / TLS 1.2 or above for all external traffic; encryption at rest for databases, object storage and backups.</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Contrôle d'accès  /  Access control</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Authentification des utilisateurs sans mot de passe (lien à usage unique par courriel ou OAuth), aucun mot de passe n'étant conservé. Authentification individuelle et authentification multifacteur pour les accès administrateurs. Principe du moindre privilège et revue périodique des habilitations. Cloisonnement logique des données par client (multi-tenant). / Passwordless user authentication (single-use email link or OAuth), with no password stored; individual authentication and multi-factor authentication for administrative access; least privilege; periodic review of entitlements; logical tenant isolation of data.</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Sécurité réseau  /  Network security</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Exposition limitée via une passerelle applicative et un tunnel chiffré. Pare-feu et filtrage. Protection contre les attaques par déni de service et le trafic malveillant au niveau du CDN. / Limited exposure through an application gateway and encrypted tunnel; firewalling and filtering; denial-of-service and malicious traffic protection at CDN level.</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Journalisation  /  Logging</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Journalisation horodatée des accès administrateurs et des événements de sécurité. Conservation pendant 12 mois. Protection contre la modification. / Logging of administrative access and security events; timestamping; retention of 12 months; protection against alteration.</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Sauvegardes et continuité  /  Backups and continuity</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Sauvegardes chiffrées automatisées quotidiennes, conservées 30 jours. Tests de restauration périodiques. / Automated daily encrypted backups; retention of 30 days; periodic restore testing.</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Développement sécurisé  /  Secure development</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Revue de code, intégration continue avec contrôle d'intégrité des dépendances, environnements de production et de développement séparés, absence de données de production en environnement de test. / Code review, continuous integration with dependency integrity checks, separated production and development environments, no production data in test environments.</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Gestion des vulnérabilités  /  Vulnerability management</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Suivi des avis de sécurité, application des correctifs selon criticité, mise à jour régulière des dépendances. / Monitoring of security advisories, patching according to severity, regular dependency updates.</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Gestion des incidents  /  Incident management</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Procédure documentée de détection, qualification, confinement et notification. Délai de notification au Client de 72 heures (article 11). / Documented procedure for detection, assessment, containment and notification; 72-hour notification deadline to the Client (clause 11).</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Personnel  /  Personnel</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Engagements de confidentialité, sensibilisation à la protection des données, retrait des accès au départ. / Confidentiality undertakings, data protection awareness, removal of access on departure.</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Sous-traitance  /  Sub-processing</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Sélection de fournisseurs offrant des garanties suffisantes. Accords de sous-traitance écrits. Hébergement dans l'Union européenne par défaut. / Selection of providers offering sufficient guarantees; written processing agreements; hosting within the European Union by default.</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Transparence du traitement IA  /  AI processing transparency</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Le statut de rétention de chaque modèle (rétention nulle ou non) est affiché aux utilisateurs dans l'interface du Service avant utilisation. Le paramétrage des modèles autorisés est accessible à l'administrateur de l'organisation. / The retention status of each model (zero retention or not) is shown to users in the Service interface before use; the configuration of permitted models is available to the organisation's administrator.</w:t>
            </w:r>
          </w:p>
        </w:tc>
      </w:tr>
      <w:tr>
        <w:tc>
          <w:tcPr>
            <w:tcW w:type="dxa" w:w="26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Suppression  /  Deletion</w:t>
            </w:r>
          </w:p>
        </w:tc>
        <w:tc>
          <w:tcPr>
            <w:tcW w:type="dxa" w:w="67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Effacement à l'expiration des durées prévues à l'article 12. Effacement sécurisé des supports. / Erasure on expiry of the periods set out in clause 12; secure erasure of media.</w:t>
            </w:r>
          </w:p>
        </w:tc>
      </w:tr>
    </w:tbl>
    <w:p>
      <w:r>
        <w:br w:type="page"/>
      </w:r>
    </w:p>
    <w:p>
      <w:pPr>
        <w:spacing w:after="30" w:line="260"/>
      </w:pPr>
      <w:r>
        <w:rPr>
          <w:rFonts w:ascii="Calibri" w:cs="Calibri" w:eastAsia="Calibri" w:hAnsi="Calibri"/>
          <w:b/>
          <w:bCs/>
          <w:sz w:val="24"/>
          <w:szCs w:val="24"/>
        </w:rPr>
        <w:t xml:space="preserve">ANNEXE III : SOUS-TRAITANTS ULTÉRIEURS AUTORISÉS</w:t>
      </w:r>
    </w:p>
    <w:p>
      <w:pPr>
        <w:spacing w:after="160" w:line="260"/>
      </w:pPr>
      <w:r>
        <w:rPr>
          <w:rFonts w:ascii="Calibri" w:cs="Calibri" w:eastAsia="Calibri" w:hAnsi="Calibri"/>
          <w:b/>
          <w:bCs/>
          <w:color w:val="555555"/>
          <w:sz w:val="20"/>
          <w:szCs w:val="20"/>
        </w:rPr>
        <w:t xml:space="preserve">ANNEX III: AUTHORISED SUB-PROCESSORS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100"/>
        <w:gridCol w:w="1700"/>
        <w:gridCol w:w="1800"/>
        <w:gridCol w:w="1860"/>
      </w:tblGrid>
      <w:tr>
        <w:trPr>
          <w:tblHeader/>
        </w:trPr>
        <w:tc>
          <w:tcPr>
            <w:tcW w:type="dxa" w:w="190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Sous-traitant / Sub-processor</w:t>
            </w:r>
          </w:p>
        </w:tc>
        <w:tc>
          <w:tcPr>
            <w:tcW w:type="dxa" w:w="210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Finalité / Purpose</w:t>
            </w:r>
          </w:p>
        </w:tc>
        <w:tc>
          <w:tcPr>
            <w:tcW w:type="dxa" w:w="170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Lieu de traitement / Location</w:t>
            </w:r>
          </w:p>
        </w:tc>
        <w:tc>
          <w:tcPr>
            <w:tcW w:type="dxa" w:w="180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Entité / Entity</w:t>
            </w:r>
          </w:p>
        </w:tc>
        <w:tc>
          <w:tcPr>
            <w:tcW w:type="dxa" w:w="186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Transfert / Transfer</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OVH SAS</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Hébergement applicatif et base de données / Application and database hosting</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France</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FR</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Sans objet (UE) / Not applicable (EU)</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Cloudflare</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Stockage objet R2, CDN, réseau / R2 object storage, CDN, network</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UE (R2 EU jurisdiction) / EU</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US / IE</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 DPF / SCCs + DPF</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OpenRouter, Inc.
169 Madison Ave #2404
New York NY 10016</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Routage des requêtes vers les fournisseurs de modèles / Routing of prompts to model providers</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Google Cloud Platform, régions États-Unis / US regions</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US</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Module 2 incorporées à son DPA (droit irlandais). Rétention nulle par défaut / SCCs Module 2 incorporated in its DPA (Irish law); zero data retention by default</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Mistral AI SAS</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Inférence de modèles / Model inference</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France / UE</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FR</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Sans objet (UE) / Not applicable (EU)</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Stripe Payments Europe, Ltd.</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Traitement des paiements / Payment processing</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Irlande, États-Unis / Ireland, US</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IE</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 DPF / SCCs + DPF</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Rebase, Inc.
(d/b/a Autumn)</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Orchestration de la facturation et des abonnements. Identifiants, coordonnées et enregistrements de transactions et d'usage, traités en qualité de sous-traitant / Billing and subscription orchestration; identifiers, contact details and transactional and usage records, processed as a processor</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États-Unis / US</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US</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 UK Addendum / SCCs + UK Addendum</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PostHog</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Analyse d'usage produit / Product usage analytics</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UE (PostHog Cloud EU) / EU</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US / UK</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 DPF / SCCs + DPF</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SideGuide Technologies, Inc.</w:t>
            </w:r>
            <w:r>
              <w:br/>
              <w:t xml:space="preserve">(d/b/a Firecrawl)</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Recherche web et récupération de pages pour l'outil de recherche du Service / Web search and page retrieval for the Service's search tool</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États-Unis / US</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US</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non conclues à ce jour — DPA fournisseur à signer / SCCs not yet executed — vendor DPA to be signed</w:t>
            </w:r>
          </w:p>
        </w:tc>
      </w:tr>
      <w:tr>
        <w:tc>
          <w:tcPr>
            <w:tcW w:type="dxa" w:w="19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fal – Features &amp; Labels, Inc.</w:t>
            </w:r>
            <w:r>
              <w:br/>
              <w:t xml:space="preserve">(fal.ai)</w:t>
            </w:r>
          </w:p>
        </w:tc>
        <w:tc>
          <w:tcPr>
            <w:tcW w:type="dxa" w:w="21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Génération d'images et de vidéos / Image and video generation</w:t>
            </w:r>
          </w:p>
        </w:tc>
        <w:tc>
          <w:tcPr>
            <w:tcW w:type="dxa" w:w="17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États-Unis / US</w:t>
            </w:r>
          </w:p>
        </w:tc>
        <w:tc>
          <w:tcPr>
            <w:tcW w:type="dxa" w:w="180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US</w:t>
            </w:r>
          </w:p>
        </w:tc>
        <w:tc>
          <w:tcPr>
            <w:tcW w:type="dxa" w:w="186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CCT et UK IDTA incorporées à son DPA publié / SCCs and UK IDTA incorporated in its published DPA</w:t>
            </w:r>
          </w:p>
        </w:tc>
      </w:tr>
    </w:tbl>
    <w:p>
      <w:pPr>
        <w:spacing w:after="120" w:line="260"/>
      </w:pPr>
      <w:r>
        <w:rPr>
          <w:rFonts w:ascii="Calibri" w:cs="Calibri" w:eastAsia="Calibri" w:hAnsi="Calibri"/>
          <w:sz w:val="19"/>
          <w:szCs w:val="19"/>
        </w:rPr>
        <w:t xml:space="preserve"/>
      </w:r>
    </w:p>
    <w:p>
      <w:pPr>
        <w:spacing w:after="100" w:line="260"/>
      </w:pPr>
      <w:r>
        <w:rPr>
          <w:rFonts w:ascii="Calibri" w:cs="Calibri" w:eastAsia="Calibri" w:hAnsi="Calibri"/>
          <w:sz w:val="17"/>
          <w:szCs w:val="17"/>
        </w:rPr>
        <w:t xml:space="preserve">Fournisseurs de modèles en aval d'OpenRouter : OpenAI, Anthropic et autres fournisseurs sélectionnés par le Client au moment de la requête. Ces fournisseurs agissent en qualité de sous-traitants ultérieurs. Lorsque des points de terminaison à rétention nulle (« zero data retention ») sont activés, les requêtes et réponses ne sont conservées ni par OpenRouter ni par le fournisseur du modèle.</w:t>
      </w:r>
    </w:p>
    <w:p>
      <w:pPr>
        <w:spacing w:after="100" w:line="260"/>
      </w:pPr>
      <w:r>
        <w:rPr>
          <w:rFonts w:ascii="Calibri" w:cs="Calibri" w:eastAsia="Calibri" w:hAnsi="Calibri"/>
          <w:i/>
          <w:iCs/>
          <w:sz w:val="17"/>
          <w:szCs w:val="17"/>
        </w:rPr>
        <w:t xml:space="preserve">Downstream model providers accessed via OpenRouter: OpenAI, Anthropic and other providers selected by the Client at the time of the request. Those providers act as sub-processors. Where zero data retention endpoints are enabled, prompts and responses are retained neither by OpenRouter nor by the model provider.</w:t>
      </w:r>
    </w:p>
    <w:p>
      <w:pPr>
        <w:spacing w:after="100" w:line="260"/>
      </w:pPr>
      <w:r>
        <w:rPr>
          <w:rFonts w:ascii="Calibri" w:cs="Calibri" w:eastAsia="Calibri" w:hAnsi="Calibri"/>
          <w:sz w:val="17"/>
          <w:szCs w:val="17"/>
        </w:rPr>
        <w:t xml:space="preserve">Le compte de routage de Polyware est configuré sans entraînement sur les données. La rétention nulle est demandée requête par requête pour chaque modèle compatible. Les modèles non compatibles sont signalés dans l'interface et leur accès est paramétrable par l'administrateur de l'organisation du Client (article 7.4).</w:t>
      </w:r>
    </w:p>
    <w:p>
      <w:pPr>
        <w:spacing w:after="100" w:line="260"/>
      </w:pPr>
      <w:r>
        <w:rPr>
          <w:rFonts w:ascii="Calibri" w:cs="Calibri" w:eastAsia="Calibri" w:hAnsi="Calibri"/>
          <w:i/>
          <w:iCs/>
          <w:sz w:val="17"/>
          <w:szCs w:val="17"/>
        </w:rPr>
        <w:t xml:space="preserve">Polyware's routing account is configured with no training on data. Zero data retention is requested on a per-request basis for every compatible model; non-compatible models are flagged in the interface and their availability is configurable by the administrator of the Client's organisation (clause 7.4).</w:t>
      </w:r>
    </w:p>
    <w:p>
      <w:pPr>
        <w:spacing w:after="100" w:line="260"/>
      </w:pPr>
      <w:r>
        <w:rPr>
          <w:rFonts w:ascii="Calibri" w:cs="Calibri" w:eastAsia="Calibri" w:hAnsi="Calibri"/>
          <w:sz w:val="17"/>
          <w:szCs w:val="17"/>
        </w:rPr>
        <w:t xml:space="preserve">La liste à jour est publiée à l'adresse : https://brome.ai/fr/legal/subprocessors / The up-to-date list is published at: https://brome.ai/legal/subprocessors</w:t>
      </w:r>
    </w:p>
    <w:p>
      <w:r>
        <w:br w:type="page"/>
      </w:r>
    </w:p>
    <w:p>
      <w:pPr>
        <w:spacing w:after="160" w:line="260"/>
      </w:pPr>
      <w:r>
        <w:rPr>
          <w:rFonts w:ascii="Calibri" w:cs="Calibri" w:eastAsia="Calibri" w:hAnsi="Calibri"/>
          <w:b/>
          <w:bCs/>
          <w:sz w:val="24"/>
          <w:szCs w:val="24"/>
        </w:rPr>
        <w:t xml:space="preserve">SIGNATURES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Le Client / The Client</w:t>
            </w:r>
          </w:p>
        </w:tc>
        <w:tc>
          <w:tcPr>
            <w:tcW w:type="dxa" w:w="4680"/>
            <w:tcBorders>
              <w:top w:val="single" w:color="D0D0D0" w:sz="4"/>
              <w:left w:val="single" w:color="D0D0D0" w:sz="4"/>
              <w:bottom w:val="single" w:color="D0D0D0" w:sz="4"/>
              <w:right w:val="single" w:color="D0D0D0" w:sz="4"/>
            </w:tcBorders>
            <w:shd w:fill="EFEFEF" w:color="auto" w:val="clear"/>
            <w:tcMar>
              <w:top w:type="dxa" w:w="70"/>
              <w:left w:type="dxa" w:w="100"/>
              <w:bottom w:type="dxa" w:w="70"/>
              <w:right w:type="dxa" w:w="100"/>
            </w:tcMar>
          </w:tcPr>
          <w:p>
            <w:pPr>
              <w:spacing w:after="0" w:line="260"/>
            </w:pPr>
            <w:r>
              <w:rPr>
                <w:rFonts w:ascii="Calibri" w:cs="Calibri" w:eastAsia="Calibri" w:hAnsi="Calibri"/>
                <w:b/>
                <w:bCs/>
                <w:sz w:val="17"/>
                <w:szCs w:val="17"/>
              </w:rPr>
              <w:t xml:space="preserve">Polyware SAS</w:t>
            </w:r>
          </w:p>
        </w:tc>
      </w:tr>
      <w:tr>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Raison sociale / Company: ______________________</w:t>
            </w:r>
          </w:p>
        </w:tc>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Polyware SAS</w:t>
            </w:r>
          </w:p>
        </w:tc>
      </w:tr>
      <w:tr>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SIREN / Company no.: ______________________</w:t>
            </w:r>
          </w:p>
        </w:tc>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SIREN 103 977 302</w:t>
            </w:r>
          </w:p>
        </w:tc>
      </w:tr>
      <w:tr>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Siège / Registered office: ______________________</w:t>
            </w:r>
          </w:p>
        </w:tc>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47 rue Vivienne, 75002 Paris</w:t>
            </w:r>
          </w:p>
        </w:tc>
      </w:tr>
      <w:tr>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Représentant / Representative: ______________________</w:t>
            </w:r>
          </w:p>
        </w:tc>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Cédric Thierry, Président</w:t>
            </w:r>
          </w:p>
        </w:tc>
      </w:tr>
      <w:tr>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Contact DPO / privacy: ______________________</w:t>
            </w:r>
          </w:p>
        </w:tc>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dpo@brome.ai</w:t>
            </w:r>
          </w:p>
        </w:tc>
      </w:tr>
      <w:tr>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Date et signature / Date and signature:
</w:t>
            </w:r>
          </w:p>
        </w:tc>
        <w:tc>
          <w:tcPr>
            <w:tcW w:type="dxa" w:w="4680"/>
            <w:tcBorders>
              <w:top w:val="single" w:color="D0D0D0" w:sz="4"/>
              <w:left w:val="single" w:color="D0D0D0" w:sz="4"/>
              <w:bottom w:val="single" w:color="D0D0D0" w:sz="4"/>
              <w:right w:val="single" w:color="D0D0D0" w:sz="4"/>
            </w:tcBorders>
            <w:tcMar>
              <w:top w:type="dxa" w:w="70"/>
              <w:left w:type="dxa" w:w="100"/>
              <w:bottom w:type="dxa" w:w="70"/>
              <w:right w:type="dxa" w:w="100"/>
            </w:tcMar>
          </w:tcPr>
          <w:p>
            <w:pPr>
              <w:spacing w:after="0" w:line="260"/>
            </w:pPr>
            <w:r>
              <w:rPr>
                <w:rFonts w:ascii="Calibri" w:cs="Calibri" w:eastAsia="Calibri" w:hAnsi="Calibri"/>
                <w:sz w:val="17"/>
                <w:szCs w:val="17"/>
              </w:rPr>
              <w:t xml:space="preserve">Date et signature / Date and signature:</w:t>
            </w:r>
          </w:p>
        </w:tc>
      </w:tr>
    </w:tbl>
    <w:p>
      <w:pPr>
        <w:spacing w:after="200" w:line="260"/>
      </w:pPr>
      <w:r>
        <w:rPr>
          <w:rFonts w:ascii="Calibri" w:cs="Calibri" w:eastAsia="Calibri" w:hAnsi="Calibri"/>
          <w:sz w:val="19"/>
          <w:szCs w:val="19"/>
        </w:rPr>
        <w:t xml:space="preserve"/>
      </w:r>
    </w:p>
    <w:p>
      <w:pPr>
        <w:spacing w:after="100" w:line="260"/>
      </w:pPr>
      <w:r>
        <w:rPr>
          <w:rFonts w:ascii="Calibri" w:cs="Calibri" w:eastAsia="Calibri" w:hAnsi="Calibri"/>
          <w:i/>
          <w:iCs/>
          <w:color w:val="666666"/>
          <w:sz w:val="17"/>
          <w:szCs w:val="17"/>
        </w:rPr>
        <w:t xml:space="preserve">Fait en deux exemplaires originaux. / Executed in two original counterparts.</w:t>
      </w:r>
    </w:p>
    <w:sectPr>
      <w:footerReference w:type="default" r:id="rId7"/>
      <w:pgSz w:w="11906" w:h="16838" w:orient="portrait"/>
      <w:pgMar w:top="100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5"/>
        <w:szCs w:val="15"/>
      </w:rPr>
      <w:t xml:space="preserve">Polyware SAS / brome.ai / DPA v2.3 / p. </w:t>
    </w:r>
    <w:r>
      <w:rPr>
        <w:color w:val="8080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 de traitement des données (DPA) brome.ai</dc:title>
  <dc:creator>Polyware SAS</dc:creator>
  <cp:lastModifiedBy>Un-named</cp:lastModifiedBy>
  <cp:revision>1</cp:revision>
  <dcterms:created xsi:type="dcterms:W3CDTF">2026-09-11T15:55:08.815Z</dcterms:created>
  <dcterms:modified xsi:type="dcterms:W3CDTF">2026-09-11T15:55:08.816Z</dcterms:modified>
</cp:coreProperties>
</file>

<file path=docProps/custom.xml><?xml version="1.0" encoding="utf-8"?>
<Properties xmlns="http://schemas.openxmlformats.org/officeDocument/2006/custom-properties" xmlns:vt="http://schemas.openxmlformats.org/officeDocument/2006/docPropsVTypes"/>
</file>